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Brazil Rio de Janeiro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the deployment and evaluation of the "Architect" system within the urban environment of Brazil Rio de Janeiro. The Architect is an advanced computational framework designed to optimize urban planning, resource allocation, and infrastructure management through real-time data analysis and predictive modeling.</w:t>
      </w:r>
    </w:p>
    <w:p>
      <w:pPr>
        <w:pStyle w:val="BodyText"/>
      </w:pPr>
      <w:r>
        <w:t xml:space="preserve">Rio de Janeiro presents a unique and complex urban landscape characterized by steep topography, diverse socioeconomic zones, high population density, and significant environmental challenges. The integration of the Architect system in this context aims to enhance urban resilience, improve public service delivery, and support sustainable development goals.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the Architect system in analyzing and responding to real-time urban data in Rio de Janeiro.</w:t>
      </w:r>
    </w:p>
    <w:p>
      <w:pPr>
        <w:numPr>
          <w:ilvl w:val="0"/>
          <w:numId w:val="1001"/>
        </w:numPr>
        <w:pStyle w:val="Compact"/>
      </w:pPr>
      <w:r>
        <w:t xml:space="preserve">To assess the impact of Architect-driven recommendations on traffic flow, public transportation efficiency, and emergency response times.</w:t>
      </w:r>
    </w:p>
    <w:p>
      <w:pPr>
        <w:numPr>
          <w:ilvl w:val="0"/>
          <w:numId w:val="1001"/>
        </w:numPr>
        <w:pStyle w:val="Compact"/>
      </w:pPr>
      <w:r>
        <w:t xml:space="preserve">To identify potential technical, social, and ethical challenges associated with deploying advanced AI systems in a densely populated, socioeconomically diverse city.</w:t>
      </w:r>
    </w:p>
    <w:p>
      <w:pPr>
        <w:numPr>
          <w:ilvl w:val="0"/>
          <w:numId w:val="1001"/>
        </w:numPr>
        <w:pStyle w:val="Compact"/>
      </w:pPr>
      <w:r>
        <w:t xml:space="preserve">To gather stakeholder feedback from municipal authorities, community leaders, and residents regarding the usability and perceived benefits of the Architect system.</w:t>
      </w:r>
    </w:p>
    <w:bookmarkEnd w:id="22"/>
    <w:bookmarkStart w:id="23" w:name="scope-and-study-area"/>
    <w:p>
      <w:pPr>
        <w:pStyle w:val="Heading2"/>
      </w:pPr>
      <w:r>
        <w:t xml:space="preserve">3. Scope and Study Area</w:t>
      </w:r>
    </w:p>
    <w:p>
      <w:pPr>
        <w:pStyle w:val="FirstParagraph"/>
      </w:pPr>
      <w:r>
        <w:t xml:space="preserve">The experiment will be conducted in selected districts of Brazil Rio de Janeiro, including but not limited to:</w:t>
      </w:r>
    </w:p>
    <w:p>
      <w:pPr>
        <w:numPr>
          <w:ilvl w:val="0"/>
          <w:numId w:val="1002"/>
        </w:numPr>
        <w:pStyle w:val="Compact"/>
      </w:pPr>
      <w:r>
        <w:t xml:space="preserve">Zona Sul (South Zone): High-density residential and tourist areas.</w:t>
      </w:r>
    </w:p>
    <w:p>
      <w:pPr>
        <w:numPr>
          <w:ilvl w:val="0"/>
          <w:numId w:val="1002"/>
        </w:numPr>
        <w:pStyle w:val="Compact"/>
      </w:pPr>
      <w:r>
        <w:t xml:space="preserve">Zona Norte (North Zone): Industrial and mixed-use areas with significant commuter traffic.</w:t>
      </w:r>
    </w:p>
    <w:p>
      <w:pPr>
        <w:numPr>
          <w:ilvl w:val="0"/>
          <w:numId w:val="1002"/>
        </w:numPr>
        <w:pStyle w:val="Compact"/>
      </w:pPr>
      <w:r>
        <w:t xml:space="preserve">Zona Oeste (West Zone): Areas with ongoing urban development and infrastructure projects.</w:t>
      </w:r>
    </w:p>
    <w:p>
      <w:pPr>
        <w:pStyle w:val="FirstParagraph"/>
      </w:pPr>
      <w:r>
        <w:t xml:space="preserve">The selection of these areas ensures a representative sample of Rio de Janeiro’s urban diversity, allowing for a comprehensive evaluation of the Architect system’s adaptability and performance.</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Data will be collected from multiple sources, including:</w:t>
      </w:r>
    </w:p>
    <w:p>
      <w:pPr>
        <w:numPr>
          <w:ilvl w:val="0"/>
          <w:numId w:val="1003"/>
        </w:numPr>
        <w:pStyle w:val="Compact"/>
      </w:pPr>
      <w:r>
        <w:t xml:space="preserve">IoT sensors deployed across traffic intersections, public transit hubs, and environmental monitoring stations.</w:t>
      </w:r>
    </w:p>
    <w:p>
      <w:pPr>
        <w:numPr>
          <w:ilvl w:val="0"/>
          <w:numId w:val="1003"/>
        </w:numPr>
        <w:pStyle w:val="Compact"/>
      </w:pPr>
      <w:r>
        <w:t xml:space="preserve">Open data portals maintained by the Rio de Janeiro municipal government.</w:t>
      </w:r>
    </w:p>
    <w:p>
      <w:pPr>
        <w:numPr>
          <w:ilvl w:val="0"/>
          <w:numId w:val="1003"/>
        </w:numPr>
        <w:pStyle w:val="Compact"/>
      </w:pPr>
      <w:r>
        <w:t xml:space="preserve">Mobile application usage data (with user consent) to track movement patterns and service utilization.</w:t>
      </w:r>
    </w:p>
    <w:p>
      <w:pPr>
        <w:numPr>
          <w:ilvl w:val="0"/>
          <w:numId w:val="1003"/>
        </w:numPr>
        <w:pStyle w:val="Compact"/>
      </w:pPr>
      <w:r>
        <w:t xml:space="preserve">Satellite imagery and GIS data for spatial analysis.</w:t>
      </w:r>
    </w:p>
    <w:bookmarkEnd w:id="24"/>
    <w:bookmarkStart w:id="25" w:name="system-deployment"/>
    <w:p>
      <w:pPr>
        <w:pStyle w:val="Heading3"/>
      </w:pPr>
      <w:r>
        <w:t xml:space="preserve">4.2 System Deployment</w:t>
      </w:r>
    </w:p>
    <w:p>
      <w:pPr>
        <w:pStyle w:val="FirstParagraph"/>
      </w:pPr>
      <w:r>
        <w:t xml:space="preserve">The Architect system will be deployed on secure cloud infrastructure with localized data processing capabilities to ensure compliance with Brazilian data protection laws (LGPD). The system will operate in a sandboxed environment for the initial phase, with gradual integration into municipal decision-support tools.</w:t>
      </w:r>
    </w:p>
    <w:bookmarkEnd w:id="25"/>
    <w:bookmarkStart w:id="26" w:name="experimental-phases"/>
    <w:p>
      <w:pPr>
        <w:pStyle w:val="Heading3"/>
      </w:pPr>
      <w:r>
        <w:t xml:space="preserve">4.3 Experimental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Calibration</w:t>
            </w:r>
          </w:p>
        </w:tc>
        <w:tc>
          <w:tcPr/>
          <w:p>
            <w:pPr>
              <w:pStyle w:val="Compact"/>
              <w:jc w:val="left"/>
            </w:pPr>
            <w:r>
              <w:t xml:space="preserve">4 weeks</w:t>
            </w:r>
          </w:p>
        </w:tc>
        <w:tc>
          <w:tcPr/>
          <w:p>
            <w:pPr>
              <w:pStyle w:val="Compact"/>
              <w:jc w:val="left"/>
            </w:pPr>
            <w:r>
              <w:t xml:space="preserve">System setup, data integration, baseline measurements.</w:t>
            </w:r>
          </w:p>
        </w:tc>
      </w:tr>
      <w:tr>
        <w:tc>
          <w:tcPr/>
          <w:p>
            <w:pPr>
              <w:pStyle w:val="Compact"/>
              <w:jc w:val="left"/>
            </w:pPr>
            <w:r>
              <w:t xml:space="preserve">Phase 2: Controlled Deployment</w:t>
            </w:r>
          </w:p>
        </w:tc>
        <w:tc>
          <w:tcPr/>
          <w:p>
            <w:pPr>
              <w:pStyle w:val="Compact"/>
              <w:jc w:val="left"/>
            </w:pPr>
            <w:r>
              <w:t xml:space="preserve">8 weeks</w:t>
            </w:r>
          </w:p>
        </w:tc>
        <w:tc>
          <w:tcPr/>
          <w:p>
            <w:pPr>
              <w:pStyle w:val="Compact"/>
              <w:jc w:val="left"/>
            </w:pPr>
            <w:r>
              <w:t xml:space="preserve">Limited rollout in selected districts, real-time monitoring.</w:t>
            </w:r>
          </w:p>
        </w:tc>
      </w:tr>
      <w:tr>
        <w:tc>
          <w:tcPr/>
          <w:p>
            <w:pPr>
              <w:pStyle w:val="Compact"/>
              <w:jc w:val="left"/>
            </w:pPr>
            <w:r>
              <w:t xml:space="preserve">Phase 3: Full Evaluation</w:t>
            </w:r>
          </w:p>
        </w:tc>
        <w:tc>
          <w:tcPr/>
          <w:p>
            <w:pPr>
              <w:pStyle w:val="Compact"/>
              <w:jc w:val="left"/>
            </w:pPr>
            <w:r>
              <w:t xml:space="preserve">12 weeks</w:t>
            </w:r>
          </w:p>
        </w:tc>
        <w:tc>
          <w:tcPr/>
          <w:p>
            <w:pPr>
              <w:pStyle w:val="Compact"/>
              <w:jc w:val="left"/>
            </w:pPr>
            <w:r>
              <w:t xml:space="preserve">City-wide deployment, stakeholder engagement, impact assessment.</w:t>
            </w:r>
          </w:p>
        </w:tc>
      </w:tr>
      <w:tr>
        <w:tc>
          <w:tcPr/>
          <w:p>
            <w:pPr>
              <w:pStyle w:val="Compact"/>
              <w:jc w:val="left"/>
            </w:pPr>
            <w:r>
              <w:t xml:space="preserve">Phase 4: Analysis and Reporting</w:t>
            </w:r>
          </w:p>
        </w:tc>
        <w:tc>
          <w:tcPr/>
          <w:p>
            <w:pPr>
              <w:pStyle w:val="Compact"/>
              <w:jc w:val="left"/>
            </w:pPr>
            <w:r>
              <w:t xml:space="preserve">4 weeks</w:t>
            </w:r>
          </w:p>
        </w:tc>
        <w:tc>
          <w:tcPr/>
          <w:p>
            <w:pPr>
              <w:pStyle w:val="Compact"/>
              <w:jc w:val="left"/>
            </w:pPr>
            <w:r>
              <w:t xml:space="preserve">Data analysis, report generation, recommendations.</w:t>
            </w:r>
          </w:p>
        </w:tc>
      </w:tr>
    </w:tbl>
    <w:bookmarkEnd w:id="26"/>
    <w:bookmarkEnd w:id="27"/>
    <w:bookmarkStart w:id="28" w:name="ethical-considerations"/>
    <w:p>
      <w:pPr>
        <w:pStyle w:val="Heading2"/>
      </w:pPr>
      <w:r>
        <w:t xml:space="preserve">5. Ethical Considerations</w:t>
      </w:r>
    </w:p>
    <w:p>
      <w:pPr>
        <w:pStyle w:val="FirstParagraph"/>
      </w:pPr>
      <w:r>
        <w:t xml:space="preserve">The deployment of the Architect system in Brazil Rio de Janeiro raises important ethical considerations, including:</w:t>
      </w:r>
    </w:p>
    <w:p>
      <w:pPr>
        <w:numPr>
          <w:ilvl w:val="0"/>
          <w:numId w:val="1004"/>
        </w:numPr>
        <w:pStyle w:val="Compact"/>
      </w:pPr>
      <w:r>
        <w:rPr>
          <w:bCs/>
          <w:b/>
        </w:rPr>
        <w:t xml:space="preserve">Privacy:</w:t>
      </w:r>
      <w:r>
        <w:t xml:space="preserve"> </w:t>
      </w:r>
      <w:r>
        <w:t xml:space="preserve">All personal data will be anonymized and processed in accordance with the Lei Geral de Proteção de Dados (LGPD). Informed consent will be obtained where applicable.</w:t>
      </w:r>
    </w:p>
    <w:p>
      <w:pPr>
        <w:numPr>
          <w:ilvl w:val="0"/>
          <w:numId w:val="1004"/>
        </w:numPr>
        <w:pStyle w:val="Compact"/>
      </w:pPr>
      <w:r>
        <w:rPr>
          <w:bCs/>
          <w:b/>
        </w:rPr>
        <w:t xml:space="preserve">Equity:</w:t>
      </w:r>
      <w:r>
        <w:t xml:space="preserve"> </w:t>
      </w:r>
      <w:r>
        <w:t xml:space="preserve">Efforts will be made to ensure that the benefits of the Architect system are distributed equitably across all socioeconomic groups.</w:t>
      </w:r>
    </w:p>
    <w:p>
      <w:pPr>
        <w:numPr>
          <w:ilvl w:val="0"/>
          <w:numId w:val="1004"/>
        </w:numPr>
        <w:pStyle w:val="Compact"/>
      </w:pPr>
      <w:r>
        <w:rPr>
          <w:bCs/>
          <w:b/>
        </w:rPr>
        <w:t xml:space="preserve">Transparency:</w:t>
      </w:r>
      <w:r>
        <w:t xml:space="preserve"> </w:t>
      </w:r>
      <w:r>
        <w:t xml:space="preserve">The methodology, objectives, and limitations of the experiment will be communicated clearly to all stakeholders.</w:t>
      </w:r>
    </w:p>
    <w:p>
      <w:pPr>
        <w:numPr>
          <w:ilvl w:val="0"/>
          <w:numId w:val="1004"/>
        </w:numPr>
        <w:pStyle w:val="Compact"/>
      </w:pPr>
      <w:r>
        <w:rPr>
          <w:bCs/>
          <w:b/>
        </w:rPr>
        <w:t xml:space="preserve">Accountability:</w:t>
      </w:r>
      <w:r>
        <w:t xml:space="preserve"> </w:t>
      </w:r>
      <w:r>
        <w:t xml:space="preserve">A governance committee comprising municipal officials, academic experts, and community representatives will oversee the experiment.</w:t>
      </w:r>
    </w:p>
    <w:bookmarkEnd w:id="28"/>
    <w:bookmarkStart w:id="29" w:name="risk-management"/>
    <w:p>
      <w:pPr>
        <w:pStyle w:val="Heading2"/>
      </w:pPr>
      <w:r>
        <w:t xml:space="preserve">6. Risk Management</w:t>
      </w:r>
    </w:p>
    <w:p>
      <w:pPr>
        <w:pStyle w:val="FirstParagraph"/>
      </w:pPr>
      <w:r>
        <w:t xml:space="preserve">Potential risks and mitigation strategies include:</w:t>
      </w:r>
    </w:p>
    <w:p>
      <w:pPr>
        <w:numPr>
          <w:ilvl w:val="0"/>
          <w:numId w:val="1005"/>
        </w:numPr>
        <w:pStyle w:val="Compact"/>
      </w:pPr>
      <w:r>
        <w:rPr>
          <w:bCs/>
          <w:b/>
        </w:rPr>
        <w:t xml:space="preserve">Data Security Breaches:</w:t>
      </w:r>
      <w:r>
        <w:t xml:space="preserve"> </w:t>
      </w:r>
      <w:r>
        <w:t xml:space="preserve">Implementation of end-to-end encryption, regular security audits, and incident response protocols.</w:t>
      </w:r>
    </w:p>
    <w:p>
      <w:pPr>
        <w:numPr>
          <w:ilvl w:val="0"/>
          <w:numId w:val="1005"/>
        </w:numPr>
        <w:pStyle w:val="Compact"/>
      </w:pPr>
      <w:r>
        <w:rPr>
          <w:bCs/>
          <w:b/>
        </w:rPr>
        <w:t xml:space="preserve">System Failures:</w:t>
      </w:r>
      <w:r>
        <w:t xml:space="preserve"> </w:t>
      </w:r>
      <w:r>
        <w:t xml:space="preserve">Redundant systems and manual override capabilities to ensure continuity of essential services.</w:t>
      </w:r>
    </w:p>
    <w:p>
      <w:pPr>
        <w:numPr>
          <w:ilvl w:val="0"/>
          <w:numId w:val="1005"/>
        </w:numPr>
        <w:pStyle w:val="Compact"/>
      </w:pPr>
      <w:r>
        <w:rPr>
          <w:bCs/>
          <w:b/>
        </w:rPr>
        <w:t xml:space="preserve">Public Resistance:</w:t>
      </w:r>
      <w:r>
        <w:t xml:space="preserve"> </w:t>
      </w:r>
      <w:r>
        <w:t xml:space="preserve">Community engagement initiatives, transparent communication, and opportunities for feedback.</w:t>
      </w:r>
    </w:p>
    <w:p>
      <w:pPr>
        <w:numPr>
          <w:ilvl w:val="0"/>
          <w:numId w:val="1005"/>
        </w:numPr>
        <w:pStyle w:val="Compact"/>
      </w:pPr>
      <w:r>
        <w:rPr>
          <w:bCs/>
          <w:b/>
        </w:rPr>
        <w:t xml:space="preserve">Regulatory Non-Compliance:</w:t>
      </w:r>
      <w:r>
        <w:t xml:space="preserve"> </w:t>
      </w:r>
      <w:r>
        <w:t xml:space="preserve">Continuous legal review and collaboration with regulatory authorities.</w:t>
      </w:r>
    </w:p>
    <w:bookmarkEnd w:id="29"/>
    <w:bookmarkStart w:id="30" w:name="expected-outcomes"/>
    <w:p>
      <w:pPr>
        <w:pStyle w:val="Heading2"/>
      </w:pPr>
      <w:r>
        <w:t xml:space="preserve">7. Expected Outcomes</w:t>
      </w:r>
    </w:p>
    <w:p>
      <w:pPr>
        <w:pStyle w:val="FirstParagraph"/>
      </w:pPr>
      <w:r>
        <w:t xml:space="preserve">The experiment aims to produce:</w:t>
      </w:r>
    </w:p>
    <w:p>
      <w:pPr>
        <w:numPr>
          <w:ilvl w:val="0"/>
          <w:numId w:val="1006"/>
        </w:numPr>
        <w:pStyle w:val="Compact"/>
      </w:pPr>
      <w:r>
        <w:t xml:space="preserve">Quantitative metrics on improvements in traffic efficiency, public transit reliability, and emergency response times.</w:t>
      </w:r>
    </w:p>
    <w:p>
      <w:pPr>
        <w:numPr>
          <w:ilvl w:val="0"/>
          <w:numId w:val="1006"/>
        </w:numPr>
        <w:pStyle w:val="Compact"/>
      </w:pPr>
      <w:r>
        <w:t xml:space="preserve">Qualitative insights into stakeholder perceptions and community impact.</w:t>
      </w:r>
    </w:p>
    <w:p>
      <w:pPr>
        <w:numPr>
          <w:ilvl w:val="0"/>
          <w:numId w:val="1006"/>
        </w:numPr>
        <w:pStyle w:val="Compact"/>
      </w:pPr>
      <w:r>
        <w:t xml:space="preserve">A validated framework for deploying AI-driven urban management systems in similar contexts.</w:t>
      </w:r>
    </w:p>
    <w:p>
      <w:pPr>
        <w:numPr>
          <w:ilvl w:val="0"/>
          <w:numId w:val="1006"/>
        </w:numPr>
        <w:pStyle w:val="Compact"/>
      </w:pPr>
      <w:r>
        <w:t xml:space="preserve">Policy recommendations for the municipal government of Rio de Janeiro.</w:t>
      </w:r>
    </w:p>
    <w:bookmarkEnd w:id="30"/>
    <w:bookmarkStart w:id="31" w:name="conclusion"/>
    <w:p>
      <w:pPr>
        <w:pStyle w:val="Heading2"/>
      </w:pPr>
      <w:r>
        <w:t xml:space="preserve">8. Conclusion</w:t>
      </w:r>
    </w:p>
    <w:p>
      <w:pPr>
        <w:pStyle w:val="FirstParagraph"/>
      </w:pPr>
      <w:r>
        <w:t xml:space="preserve">This Experiment Protocol provides a structured approach to evaluating the Architect system in the unique urban environment of Brazil Rio de Janeiro. By adhering to rigorous scientific, ethical, and regulatory standards, the experiment seeks to contribute to the advancement of smart city technologies while addressing the specific needs and challenges of Rio de Janeiro’s population.</w:t>
      </w:r>
    </w:p>
    <w:bookmarkEnd w:id="31"/>
    <w:p>
      <w:pPr>
        <w:pStyle w:val="BodyText"/>
      </w:pPr>
      <w:r>
        <w:t xml:space="preserve">© 2023 Experiment Protocol: Architect - Brazil Rio de Janeiro.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Brazil Rio de Janeiro</dc:title>
  <dc:creator/>
  <dc:language>en</dc:language>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