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Canada</w:t>
      </w:r>
      <w:r>
        <w:t xml:space="preserve"> </w:t>
      </w:r>
      <w:r>
        <w:t xml:space="preserve">Toronto</w:t>
      </w:r>
    </w:p>
    <w:bookmarkStart w:id="31" w:name="experiment-protocol-architect"/>
    <w:p>
      <w:pPr>
        <w:pStyle w:val="Heading1"/>
      </w:pPr>
      <w:r>
        <w:t xml:space="preserve">Experiment Protocol: Architect</w:t>
      </w:r>
    </w:p>
    <w:p>
      <w:pPr>
        <w:pStyle w:val="FirstParagraph"/>
      </w:pPr>
      <w:r>
        <w:rPr>
          <w:bCs/>
          <w:b/>
        </w:rPr>
        <w:t xml:space="preserve">Project Title:</w:t>
      </w:r>
      <w:r>
        <w:t xml:space="preserve"> </w:t>
      </w:r>
      <w:r>
        <w:t xml:space="preserve">Architect: Urban Spatial Intelligence and Structural Optimization</w:t>
      </w:r>
    </w:p>
    <w:p>
      <w:pPr>
        <w:pStyle w:val="BodyText"/>
      </w:pPr>
      <w:r>
        <w:rPr>
          <w:bCs/>
          <w:b/>
        </w:rPr>
        <w:t xml:space="preserve">Location:</w:t>
      </w:r>
      <w:r>
        <w:t xml:space="preserve"> </w:t>
      </w:r>
      <w:r>
        <w:t xml:space="preserve">Canada Toronto, Ontario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Experiment Protocol outlines the methodology for the "Architect" project, a comprehensive study designed to evaluate the efficacy of advanced generative design algorithms in the context of high-density urban environments. The primary objective is to determine how the Architect system can optimize building footprints, energy efficiency, and structural integrity within the specific regulatory and climatic constraints of Canada Toronto.</w:t>
      </w:r>
    </w:p>
    <w:p>
      <w:pPr>
        <w:pStyle w:val="BodyText"/>
      </w:pPr>
      <w:r>
        <w:t xml:space="preserve">Toronto presents a unique testing ground due to its rapid vertical expansion, diverse architectural heritage, and strict adherence to the Ontario Building Code. The Architect experiment aims to bridge the gap between theoretical algorithmic design and practical application in one of North America's most dynamic metropolitan areas.</w:t>
      </w:r>
    </w:p>
    <w:bookmarkEnd w:id="20"/>
    <w:bookmarkStart w:id="21" w:name="scope-and-site-selection"/>
    <w:p>
      <w:pPr>
        <w:pStyle w:val="Heading2"/>
      </w:pPr>
      <w:r>
        <w:t xml:space="preserve">2. Scope and Site Selection</w:t>
      </w:r>
    </w:p>
    <w:p>
      <w:pPr>
        <w:pStyle w:val="FirstParagraph"/>
      </w:pPr>
      <w:r>
        <w:t xml:space="preserve">The scope of this experiment is limited to residential and mixed-use developments within the City of Toronto. Specific focus will be placed on the following districts to ensure a representative sample of the urban fabric:</w:t>
      </w:r>
    </w:p>
    <w:p>
      <w:pPr>
        <w:numPr>
          <w:ilvl w:val="0"/>
          <w:numId w:val="1001"/>
        </w:numPr>
        <w:pStyle w:val="Compact"/>
      </w:pPr>
      <w:r>
        <w:rPr>
          <w:bCs/>
          <w:b/>
        </w:rPr>
        <w:t xml:space="preserve">The Financial District:</w:t>
      </w:r>
      <w:r>
        <w:t xml:space="preserve"> </w:t>
      </w:r>
      <w:r>
        <w:t xml:space="preserve">To test high-density vertical optimization.</w:t>
      </w:r>
    </w:p>
    <w:p>
      <w:pPr>
        <w:numPr>
          <w:ilvl w:val="0"/>
          <w:numId w:val="1001"/>
        </w:numPr>
        <w:pStyle w:val="Compact"/>
      </w:pPr>
      <w:r>
        <w:rPr>
          <w:bCs/>
          <w:b/>
        </w:rPr>
        <w:t xml:space="preserve">The Waterfront:</w:t>
      </w:r>
      <w:r>
        <w:t xml:space="preserve"> </w:t>
      </w:r>
      <w:r>
        <w:t xml:space="preserve">To evaluate environmental resilience and wind load calculations.</w:t>
      </w:r>
    </w:p>
    <w:p>
      <w:pPr>
        <w:numPr>
          <w:ilvl w:val="0"/>
          <w:numId w:val="1001"/>
        </w:numPr>
        <w:pStyle w:val="Compact"/>
      </w:pPr>
      <w:r>
        <w:rPr>
          <w:bCs/>
          <w:b/>
        </w:rPr>
        <w:t xml:space="preserve">Liberty Village:</w:t>
      </w:r>
      <w:r>
        <w:t xml:space="preserve"> </w:t>
      </w:r>
      <w:r>
        <w:t xml:space="preserve">To assess integration with existing mid-rise infrastructure.</w:t>
      </w:r>
    </w:p>
    <w:p>
      <w:pPr>
        <w:pStyle w:val="FirstParagraph"/>
      </w:pPr>
      <w:r>
        <w:t xml:space="preserve">All data collection and simulation processes will adhere to the privacy laws and municipal bylaws of Canada Toronto.</w:t>
      </w:r>
    </w:p>
    <w:bookmarkEnd w:id="21"/>
    <w:bookmarkStart w:id="25" w:name="methodology"/>
    <w:p>
      <w:pPr>
        <w:pStyle w:val="Heading2"/>
      </w:pPr>
      <w:r>
        <w:t xml:space="preserve">3. Methodology</w:t>
      </w:r>
    </w:p>
    <w:bookmarkStart w:id="22" w:name="data-acquisition"/>
    <w:p>
      <w:pPr>
        <w:pStyle w:val="Heading3"/>
      </w:pPr>
      <w:r>
        <w:t xml:space="preserve">3.1 Data Acquisition</w:t>
      </w:r>
    </w:p>
    <w:p>
      <w:pPr>
        <w:pStyle w:val="FirstParagraph"/>
      </w:pPr>
      <w:r>
        <w:t xml:space="preserve">The Architect system requires high-fidelity input data to function effectively. The following datasets will be aggregated:</w:t>
      </w:r>
    </w:p>
    <w:p>
      <w:pPr>
        <w:numPr>
          <w:ilvl w:val="0"/>
          <w:numId w:val="1002"/>
        </w:numPr>
        <w:pStyle w:val="Compact"/>
      </w:pPr>
      <w:r>
        <w:rPr>
          <w:bCs/>
          <w:b/>
        </w:rPr>
        <w:t xml:space="preserve">Geospatial Data:</w:t>
      </w:r>
      <w:r>
        <w:t xml:space="preserve"> </w:t>
      </w:r>
      <w:r>
        <w:t xml:space="preserve">LiDAR scans of the selected Toronto sites to capture topography and existing structures.</w:t>
      </w:r>
    </w:p>
    <w:p>
      <w:pPr>
        <w:numPr>
          <w:ilvl w:val="0"/>
          <w:numId w:val="1002"/>
        </w:numPr>
        <w:pStyle w:val="Compact"/>
      </w:pPr>
      <w:r>
        <w:rPr>
          <w:bCs/>
          <w:b/>
        </w:rPr>
        <w:t xml:space="preserve">Climatic Data:</w:t>
      </w:r>
      <w:r>
        <w:t xml:space="preserve"> </w:t>
      </w:r>
      <w:r>
        <w:t xml:space="preserve">Historical weather patterns specific to the Greater Toronto Area (GTA), including snow load averages, wind speeds, and solar irradiance levels.</w:t>
      </w:r>
    </w:p>
    <w:p>
      <w:pPr>
        <w:numPr>
          <w:ilvl w:val="0"/>
          <w:numId w:val="1002"/>
        </w:numPr>
        <w:pStyle w:val="Compact"/>
      </w:pPr>
      <w:r>
        <w:rPr>
          <w:bCs/>
          <w:b/>
        </w:rPr>
        <w:t xml:space="preserve">Regulatory Data:</w:t>
      </w:r>
      <w:r>
        <w:t xml:space="preserve"> </w:t>
      </w:r>
      <w:r>
        <w:t xml:space="preserve">Current zoning bylaws, height restrictions, and setback requirements enforced by the City of Toronto Planning Department.</w:t>
      </w:r>
    </w:p>
    <w:bookmarkEnd w:id="22"/>
    <w:bookmarkStart w:id="23" w:name="algorithmic-simulation"/>
    <w:p>
      <w:pPr>
        <w:pStyle w:val="Heading3"/>
      </w:pPr>
      <w:r>
        <w:t xml:space="preserve">3.2 Algorithmic Simulation</w:t>
      </w:r>
    </w:p>
    <w:p>
      <w:pPr>
        <w:pStyle w:val="FirstParagraph"/>
      </w:pPr>
      <w:r>
        <w:t xml:space="preserve">The core of the Architect experiment involves running iterative simulations. The algorithm will generate thousands of design variations for each site. Each variation will be scored based on:</w:t>
      </w:r>
    </w:p>
    <w:p>
      <w:pPr>
        <w:numPr>
          <w:ilvl w:val="0"/>
          <w:numId w:val="1003"/>
        </w:numPr>
        <w:pStyle w:val="Compact"/>
      </w:pPr>
      <w:r>
        <w:t xml:space="preserve">Compliance with the Ontario Building Code.</w:t>
      </w:r>
    </w:p>
    <w:p>
      <w:pPr>
        <w:numPr>
          <w:ilvl w:val="0"/>
          <w:numId w:val="1003"/>
        </w:numPr>
        <w:pStyle w:val="Compact"/>
      </w:pPr>
      <w:r>
        <w:t xml:space="preserve">Energy performance metrics (targeting Net-Zero readiness).</w:t>
      </w:r>
    </w:p>
    <w:p>
      <w:pPr>
        <w:numPr>
          <w:ilvl w:val="0"/>
          <w:numId w:val="1003"/>
        </w:numPr>
        <w:pStyle w:val="Compact"/>
      </w:pPr>
      <w:r>
        <w:t xml:space="preserve">Structural material efficiency.</w:t>
      </w:r>
    </w:p>
    <w:p>
      <w:pPr>
        <w:numPr>
          <w:ilvl w:val="0"/>
          <w:numId w:val="1003"/>
        </w:numPr>
        <w:pStyle w:val="Compact"/>
      </w:pPr>
      <w:r>
        <w:t xml:space="preserve">Urban impact (shadow analysis and wind tunnel simulation).</w:t>
      </w:r>
    </w:p>
    <w:bookmarkEnd w:id="23"/>
    <w:bookmarkStart w:id="24" w:name="human-in-the-loop-evaluation"/>
    <w:p>
      <w:pPr>
        <w:pStyle w:val="Heading3"/>
      </w:pPr>
      <w:r>
        <w:t xml:space="preserve">3.3 Human-in-the-Loop Evaluation</w:t>
      </w:r>
    </w:p>
    <w:p>
      <w:pPr>
        <w:pStyle w:val="FirstParagraph"/>
      </w:pPr>
      <w:r>
        <w:t xml:space="preserve">To ensure the Architect system produces viable results, a panel of licensed architects and structural engineers based in Toronto will review the top 5% of generated designs. This qualitative assessment is crucial for validating the algorithm's output against professional standards and aesthetic considerations.</w:t>
      </w:r>
    </w:p>
    <w:bookmarkEnd w:id="24"/>
    <w:bookmarkEnd w:id="25"/>
    <w:bookmarkStart w:id="26" w:name="ethical-considerations-and-compliance"/>
    <w:p>
      <w:pPr>
        <w:pStyle w:val="Heading2"/>
      </w:pPr>
      <w:r>
        <w:t xml:space="preserve">4. Ethical Considerations and Compliance</w:t>
      </w:r>
    </w:p>
    <w:p>
      <w:pPr>
        <w:pStyle w:val="FirstParagraph"/>
      </w:pPr>
      <w:r>
        <w:t xml:space="preserve">This experiment strictly adheres to ethical guidelines regarding data privacy and professional responsibility. As the study takes place in Canada Toronto, all personal data collected during the process will be handled in accordance with the Personal Information Protection and Electronic Documents Act (PIPEDA).</w:t>
      </w:r>
    </w:p>
    <w:p>
      <w:pPr>
        <w:pStyle w:val="BodyText"/>
      </w:pPr>
      <w:r>
        <w:t xml:space="preserve">Furthermore, the Architect system is designed as a decision-support tool, not a replacement for professional judgment. All final design recommendations generated by the experiment must be stamped and approved by a Professional Engineer (P.Eng.) licensed in Ontario.</w:t>
      </w:r>
    </w:p>
    <w:bookmarkEnd w:id="26"/>
    <w:bookmarkStart w:id="27" w:name="risk-management"/>
    <w:p>
      <w:pPr>
        <w:pStyle w:val="Heading2"/>
      </w:pPr>
      <w:r>
        <w:t xml:space="preserve">5. Risk Management</w:t>
      </w:r>
    </w:p>
    <w:p>
      <w:pPr>
        <w:pStyle w:val="FirstParagraph"/>
      </w:pPr>
      <w:r>
        <w:t xml:space="preserve">Potential risks associated with the Architect experiment include:</w:t>
      </w:r>
    </w:p>
    <w:p>
      <w:pPr>
        <w:numPr>
          <w:ilvl w:val="0"/>
          <w:numId w:val="1004"/>
        </w:numPr>
        <w:pStyle w:val="Compact"/>
      </w:pPr>
      <w:r>
        <w:rPr>
          <w:bCs/>
          <w:b/>
        </w:rPr>
        <w:t xml:space="preserve">Algorithmic Bias:</w:t>
      </w:r>
      <w:r>
        <w:t xml:space="preserve"> </w:t>
      </w:r>
      <w:r>
        <w:t xml:space="preserve">The system may favor certain design patterns over others. Mitigation involves regular audits of the training data.</w:t>
      </w:r>
    </w:p>
    <w:p>
      <w:pPr>
        <w:numPr>
          <w:ilvl w:val="0"/>
          <w:numId w:val="1004"/>
        </w:numPr>
        <w:pStyle w:val="Compact"/>
      </w:pPr>
      <w:r>
        <w:rPr>
          <w:bCs/>
          <w:b/>
        </w:rPr>
        <w:t xml:space="preserve">Regulatory Non-Compliance:</w:t>
      </w:r>
      <w:r>
        <w:t xml:space="preserve"> </w:t>
      </w:r>
      <w:r>
        <w:t xml:space="preserve">Rapid changes in Toronto's zoning laws could render certain simulations obsolete. Mitigation involves real-time updates to the regulatory database.</w:t>
      </w:r>
    </w:p>
    <w:p>
      <w:pPr>
        <w:numPr>
          <w:ilvl w:val="0"/>
          <w:numId w:val="1004"/>
        </w:numPr>
        <w:pStyle w:val="Compact"/>
      </w:pPr>
      <w:r>
        <w:rPr>
          <w:bCs/>
          <w:b/>
        </w:rPr>
        <w:t xml:space="preserve">Data Security:</w:t>
      </w:r>
      <w:r>
        <w:t xml:space="preserve"> </w:t>
      </w:r>
      <w:r>
        <w:t xml:space="preserve">Protection of proprietary design data is paramount. All servers will be hosted within Canada to ensure data sovereignty.</w:t>
      </w:r>
    </w:p>
    <w:bookmarkEnd w:id="27"/>
    <w:bookmarkStart w:id="28" w:name="timeline"/>
    <w:p>
      <w:pPr>
        <w:pStyle w:val="Heading2"/>
      </w:pPr>
      <w:r>
        <w:t xml:space="preserve">6. Timeline</w:t>
      </w:r>
    </w:p>
    <w:p>
      <w:pPr>
        <w:pStyle w:val="FirstParagraph"/>
      </w:pPr>
      <w:r>
        <w:t xml:space="preserve">The experiment is scheduled to run over a period of 12 months:</w:t>
      </w:r>
    </w:p>
    <w:p>
      <w:pPr>
        <w:numPr>
          <w:ilvl w:val="0"/>
          <w:numId w:val="1005"/>
        </w:numPr>
        <w:pStyle w:val="Compact"/>
      </w:pPr>
      <w:r>
        <w:rPr>
          <w:bCs/>
          <w:b/>
        </w:rPr>
        <w:t xml:space="preserve">Months 1-3:</w:t>
      </w:r>
      <w:r>
        <w:t xml:space="preserve"> </w:t>
      </w:r>
      <w:r>
        <w:t xml:space="preserve">Data collection and site preparation in Toronto.</w:t>
      </w:r>
    </w:p>
    <w:p>
      <w:pPr>
        <w:numPr>
          <w:ilvl w:val="0"/>
          <w:numId w:val="1005"/>
        </w:numPr>
        <w:pStyle w:val="Compact"/>
      </w:pPr>
      <w:r>
        <w:rPr>
          <w:bCs/>
          <w:b/>
        </w:rPr>
        <w:t xml:space="preserve">Months 4-8:</w:t>
      </w:r>
      <w:r>
        <w:t xml:space="preserve"> </w:t>
      </w:r>
      <w:r>
        <w:t xml:space="preserve">Execution of Architect simulations and iterative testing.</w:t>
      </w:r>
    </w:p>
    <w:p>
      <w:pPr>
        <w:numPr>
          <w:ilvl w:val="0"/>
          <w:numId w:val="1005"/>
        </w:numPr>
        <w:pStyle w:val="Compact"/>
      </w:pPr>
      <w:r>
        <w:rPr>
          <w:bCs/>
          <w:b/>
        </w:rPr>
        <w:t xml:space="preserve">Months 9-10:</w:t>
      </w:r>
      <w:r>
        <w:t xml:space="preserve"> </w:t>
      </w:r>
      <w:r>
        <w:t xml:space="preserve">Human-in-the-loop evaluation and validation.</w:t>
      </w:r>
    </w:p>
    <w:p>
      <w:pPr>
        <w:numPr>
          <w:ilvl w:val="0"/>
          <w:numId w:val="1005"/>
        </w:numPr>
        <w:pStyle w:val="Compact"/>
      </w:pPr>
      <w:r>
        <w:rPr>
          <w:bCs/>
          <w:b/>
        </w:rPr>
        <w:t xml:space="preserve">Months 11-12:</w:t>
      </w:r>
      <w:r>
        <w:t xml:space="preserve"> </w:t>
      </w:r>
      <w:r>
        <w:t xml:space="preserve">Analysis of results and final reporting.</w:t>
      </w:r>
    </w:p>
    <w:bookmarkEnd w:id="28"/>
    <w:bookmarkStart w:id="29" w:name="expected-outcomes"/>
    <w:p>
      <w:pPr>
        <w:pStyle w:val="Heading2"/>
      </w:pPr>
      <w:r>
        <w:t xml:space="preserve">7. Expected Outcomes</w:t>
      </w:r>
    </w:p>
    <w:p>
      <w:pPr>
        <w:pStyle w:val="FirstParagraph"/>
      </w:pPr>
      <w:r>
        <w:t xml:space="preserve">Upon completion, the Architect experiment aims to deliver a validated framework for using generative AI in urban planning within Canada Toronto. We anticipate identifying specific design strategies that can reduce construction costs by up to 15% while improving energy efficiency. The findings will be published in a technical report and presented to relevant stakeholders in the Ontario architectural community.</w:t>
      </w:r>
    </w:p>
    <w:bookmarkEnd w:id="29"/>
    <w:bookmarkStart w:id="30" w:name="conclusion"/>
    <w:p>
      <w:pPr>
        <w:pStyle w:val="Heading2"/>
      </w:pPr>
      <w:r>
        <w:t xml:space="preserve">8. Conclusion</w:t>
      </w:r>
    </w:p>
    <w:p>
      <w:pPr>
        <w:pStyle w:val="FirstParagraph"/>
      </w:pPr>
      <w:r>
        <w:t xml:space="preserve">This Experiment Protocol provides a robust structure for investigating the capabilities of the Architect system. By focusing on the unique challenges and opportunities presented by Canada Toronto, this study seeks to contribute meaningful insights to the future of sustainable and efficient urban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Canada Toronto</dc:title>
  <dc:creator/>
  <dc:language>en</dc:language>
  <cp:keywords/>
  <dcterms:created xsi:type="dcterms:W3CDTF">2026-10-10T01:40:05Z</dcterms:created>
  <dcterms:modified xsi:type="dcterms:W3CDTF">2026-10-10T01:40:05Z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