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Architect</w:t>
      </w:r>
      <w:r>
        <w:t xml:space="preserve"> </w:t>
      </w:r>
      <w:r>
        <w:t xml:space="preserve">System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36ecf782a8020a08913430ec9aed7ed3a6da813"/>
    <w:p>
      <w:pPr>
        <w:pStyle w:val="Heading1"/>
      </w:pPr>
      <w:r>
        <w:t xml:space="preserve">Experiment Protocol: Architect System Deployment and Evaluation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Germany Frankfurt</w:t>
      </w:r>
    </w:p>
    <w:p>
      <w:pPr>
        <w:pStyle w:val="BodyText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procedures, methodologies, and evaluation criteria for the deployment and testing of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system within the geographical and regulatory context of</w:t>
      </w:r>
      <w:r>
        <w:t xml:space="preserve"> </w:t>
      </w:r>
      <w:r>
        <w:t xml:space="preserve">Germany Frankfurt</w:t>
      </w:r>
      <w:r>
        <w:t xml:space="preserve">. The primary objective is to assess the performance, reliability, and compliance of the Architect system when integrated into local infrastructure and operational workflows.</w:t>
      </w:r>
    </w:p>
    <w:p>
      <w:pPr>
        <w:pStyle w:val="BodyText"/>
      </w:pPr>
      <w:r>
        <w:t xml:space="preserve">The Architect system is designed to optimize complex architectural planning and resource allocation processes. This experiment aims to validate its capabilities in a real-world urban environment, specifically focusing on the unique challenges and opportunities presented by Frankfurt, Germany.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limited to the deployment of the Architect system in selected pilot sites within</w:t>
      </w:r>
      <w:r>
        <w:t xml:space="preserve"> </w:t>
      </w:r>
      <w:r>
        <w:t xml:space="preserve">Germany Frankfurt</w:t>
      </w:r>
      <w:r>
        <w:t xml:space="preserve">. These sites will be chosen based on their representativeness of the city's diverse architectural landscape, including commercial, residential, and public infrastructure projects.</w:t>
      </w:r>
    </w:p>
    <w:p>
      <w:pPr>
        <w:pStyle w:val="BodyText"/>
      </w:pPr>
      <w:r>
        <w:t xml:space="preserve">The experiment will consider the following contextual factors:</w:t>
      </w:r>
    </w:p>
    <w:p>
      <w:pPr>
        <w:numPr>
          <w:ilvl w:val="0"/>
          <w:numId w:val="1001"/>
        </w:numPr>
        <w:pStyle w:val="Compact"/>
      </w:pPr>
      <w:r>
        <w:t xml:space="preserve">Local building codes and regulations specific to Frankfurt and the state of Hesse.</w:t>
      </w:r>
    </w:p>
    <w:p>
      <w:pPr>
        <w:numPr>
          <w:ilvl w:val="0"/>
          <w:numId w:val="1001"/>
        </w:numPr>
        <w:pStyle w:val="Compact"/>
      </w:pPr>
      <w:r>
        <w:t xml:space="preserve">Environmental conditions and sustainability requirements prevalent in Germany.</w:t>
      </w:r>
    </w:p>
    <w:p>
      <w:pPr>
        <w:numPr>
          <w:ilvl w:val="0"/>
          <w:numId w:val="1001"/>
        </w:numPr>
        <w:pStyle w:val="Compact"/>
      </w:pPr>
      <w:r>
        <w:t xml:space="preserve">Integration with existing municipal systems and data platforms.</w:t>
      </w:r>
    </w:p>
    <w:p>
      <w:pPr>
        <w:numPr>
          <w:ilvl w:val="0"/>
          <w:numId w:val="1001"/>
        </w:numPr>
        <w:pStyle w:val="Compact"/>
      </w:pPr>
      <w:r>
        <w:t xml:space="preserve">User interaction and feedback from local architects, engineers, and stakeholders.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ystem-setup"/>
    <w:p>
      <w:pPr>
        <w:pStyle w:val="Heading3"/>
      </w:pPr>
      <w:r>
        <w:t xml:space="preserve">3.1. System Setup</w:t>
      </w:r>
    </w:p>
    <w:p>
      <w:pPr>
        <w:pStyle w:val="FirstParagraph"/>
      </w:pPr>
      <w:r>
        <w:t xml:space="preserve">The Architect system will be installed on dedicated servers located within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to ensure data sovereignty and compliance with German data protection laws (GDPR). The setup will include:</w:t>
      </w:r>
    </w:p>
    <w:p>
      <w:pPr>
        <w:numPr>
          <w:ilvl w:val="0"/>
          <w:numId w:val="1002"/>
        </w:numPr>
        <w:pStyle w:val="Compact"/>
      </w:pPr>
      <w:r>
        <w:t xml:space="preserve">Hardware configuration tailored to the computational demands of the Architect system.</w:t>
      </w:r>
    </w:p>
    <w:p>
      <w:pPr>
        <w:numPr>
          <w:ilvl w:val="0"/>
          <w:numId w:val="1002"/>
        </w:numPr>
        <w:pStyle w:val="Compact"/>
      </w:pPr>
      <w:r>
        <w:t xml:space="preserve">Software installation and configuration, including necessary plugins and integrations.</w:t>
      </w:r>
    </w:p>
    <w:p>
      <w:pPr>
        <w:numPr>
          <w:ilvl w:val="0"/>
          <w:numId w:val="1002"/>
        </w:numPr>
        <w:pStyle w:val="Compact"/>
      </w:pPr>
      <w:r>
        <w:t xml:space="preserve">Network setup to ensure secure and reliable connectivity with pilot sites.</w:t>
      </w:r>
    </w:p>
    <w:bookmarkEnd w:id="23"/>
    <w:bookmarkStart w:id="24" w:name="pilot-site-selection"/>
    <w:p>
      <w:pPr>
        <w:pStyle w:val="Heading3"/>
      </w:pPr>
      <w:r>
        <w:t xml:space="preserve">3.2. Pilot Site Selection</w:t>
      </w:r>
    </w:p>
    <w:p>
      <w:pPr>
        <w:pStyle w:val="FirstParagraph"/>
      </w:pPr>
      <w:r>
        <w:t xml:space="preserve">Three pilot sites will be selected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based on the following criteria:</w:t>
      </w:r>
    </w:p>
    <w:p>
      <w:pPr>
        <w:numPr>
          <w:ilvl w:val="0"/>
          <w:numId w:val="1003"/>
        </w:numPr>
        <w:pStyle w:val="Compact"/>
      </w:pPr>
      <w:r>
        <w:t xml:space="preserve">Diversity in project type (e.g., high-rise commercial building, residential complex, public facility).</w:t>
      </w:r>
    </w:p>
    <w:p>
      <w:pPr>
        <w:numPr>
          <w:ilvl w:val="0"/>
          <w:numId w:val="1003"/>
        </w:numPr>
        <w:pStyle w:val="Compact"/>
      </w:pPr>
      <w:r>
        <w:t xml:space="preserve">Willingness of local stakeholders to participate in the experiment.</w:t>
      </w:r>
    </w:p>
    <w:p>
      <w:pPr>
        <w:numPr>
          <w:ilvl w:val="0"/>
          <w:numId w:val="1003"/>
        </w:numPr>
        <w:pStyle w:val="Compact"/>
      </w:pPr>
      <w:r>
        <w:t xml:space="preserve">Availability of baseline data for comparison.</w:t>
      </w:r>
    </w:p>
    <w:bookmarkEnd w:id="24"/>
    <w:bookmarkStart w:id="25" w:name="data-collection"/>
    <w:p>
      <w:pPr>
        <w:pStyle w:val="Heading3"/>
      </w:pPr>
      <w:r>
        <w:t xml:space="preserve">3.3. Data Collection</w:t>
      </w:r>
    </w:p>
    <w:p>
      <w:pPr>
        <w:pStyle w:val="FirstParagraph"/>
      </w:pPr>
      <w:r>
        <w:t xml:space="preserve">Data will be collected throughout the experiment to evaluate the performance of the Architect system. Key metrics include:</w:t>
      </w:r>
    </w:p>
    <w:p>
      <w:pPr>
        <w:numPr>
          <w:ilvl w:val="0"/>
          <w:numId w:val="1004"/>
        </w:numPr>
        <w:pStyle w:val="Compact"/>
      </w:pPr>
      <w:r>
        <w:t xml:space="preserve">Processing time for architectural planning tasks.</w:t>
      </w:r>
    </w:p>
    <w:p>
      <w:pPr>
        <w:numPr>
          <w:ilvl w:val="0"/>
          <w:numId w:val="1004"/>
        </w:numPr>
        <w:pStyle w:val="Compact"/>
      </w:pPr>
      <w:r>
        <w:t xml:space="preserve">Accuracy of resource allocation and optimization recommendations.</w:t>
      </w:r>
    </w:p>
    <w:p>
      <w:pPr>
        <w:numPr>
          <w:ilvl w:val="0"/>
          <w:numId w:val="1004"/>
        </w:numPr>
        <w:pStyle w:val="Compact"/>
      </w:pPr>
      <w:r>
        <w:t xml:space="preserve">User satisfaction and ease of use.</w:t>
      </w:r>
    </w:p>
    <w:p>
      <w:pPr>
        <w:numPr>
          <w:ilvl w:val="0"/>
          <w:numId w:val="1004"/>
        </w:numPr>
        <w:pStyle w:val="Compact"/>
      </w:pPr>
      <w:r>
        <w:t xml:space="preserve">Compliance with local regulations and sustainability standards.</w:t>
      </w:r>
    </w:p>
    <w:p>
      <w:pPr>
        <w:pStyle w:val="FirstParagraph"/>
      </w:pPr>
      <w:r>
        <w:t xml:space="preserve">Data collection methods will include automated system logs, user surveys, and interviews with stakeholders.</w:t>
      </w:r>
    </w:p>
    <w:bookmarkEnd w:id="25"/>
    <w:bookmarkEnd w:id="26"/>
    <w:bookmarkStart w:id="31" w:name="experimental-procedure"/>
    <w:p>
      <w:pPr>
        <w:pStyle w:val="Heading2"/>
      </w:pPr>
      <w:r>
        <w:t xml:space="preserve">4. Experimental Procedure</w:t>
      </w:r>
    </w:p>
    <w:bookmarkStart w:id="27" w:name="phase-1-preparation"/>
    <w:p>
      <w:pPr>
        <w:pStyle w:val="Heading3"/>
      </w:pPr>
      <w:r>
        <w:t xml:space="preserve">4.1. Phase 1: Preparation</w:t>
      </w:r>
    </w:p>
    <w:p>
      <w:pPr>
        <w:pStyle w:val="FirstParagraph"/>
      </w:pPr>
      <w:r>
        <w:t xml:space="preserve">Duration: 2 weeks</w:t>
      </w:r>
    </w:p>
    <w:p>
      <w:pPr>
        <w:numPr>
          <w:ilvl w:val="0"/>
          <w:numId w:val="1005"/>
        </w:numPr>
        <w:pStyle w:val="Compact"/>
      </w:pPr>
      <w:r>
        <w:t xml:space="preserve">Finalize pilot site selection and obtain necessary approvals.</w:t>
      </w:r>
    </w:p>
    <w:p>
      <w:pPr>
        <w:numPr>
          <w:ilvl w:val="0"/>
          <w:numId w:val="1005"/>
        </w:numPr>
        <w:pStyle w:val="Compact"/>
      </w:pPr>
      <w:r>
        <w:t xml:space="preserve">Install and configure the Architect system on local servers.</w:t>
      </w:r>
    </w:p>
    <w:p>
      <w:pPr>
        <w:numPr>
          <w:ilvl w:val="0"/>
          <w:numId w:val="1005"/>
        </w:numPr>
        <w:pStyle w:val="Compact"/>
      </w:pPr>
      <w:r>
        <w:t xml:space="preserve">Train local stakeholders on the use of the Architect system.</w:t>
      </w:r>
    </w:p>
    <w:bookmarkEnd w:id="27"/>
    <w:bookmarkStart w:id="28" w:name="phase-2-deployment"/>
    <w:p>
      <w:pPr>
        <w:pStyle w:val="Heading3"/>
      </w:pPr>
      <w:r>
        <w:t xml:space="preserve">4.2. Phase 2: Deployment</w:t>
      </w:r>
    </w:p>
    <w:p>
      <w:pPr>
        <w:pStyle w:val="FirstParagraph"/>
      </w:pPr>
      <w:r>
        <w:t xml:space="preserve">Duration: 4 weeks</w:t>
      </w:r>
    </w:p>
    <w:p>
      <w:pPr>
        <w:numPr>
          <w:ilvl w:val="0"/>
          <w:numId w:val="1006"/>
        </w:numPr>
        <w:pStyle w:val="Compact"/>
      </w:pPr>
      <w:r>
        <w:t xml:space="preserve">Deploy the Architect system at pilot sites.</w:t>
      </w:r>
    </w:p>
    <w:p>
      <w:pPr>
        <w:numPr>
          <w:ilvl w:val="0"/>
          <w:numId w:val="1006"/>
        </w:numPr>
        <w:pStyle w:val="Compact"/>
      </w:pPr>
      <w:r>
        <w:t xml:space="preserve">Begin data collection and monitor system performance.</w:t>
      </w:r>
    </w:p>
    <w:p>
      <w:pPr>
        <w:numPr>
          <w:ilvl w:val="0"/>
          <w:numId w:val="1006"/>
        </w:numPr>
        <w:pStyle w:val="Compact"/>
      </w:pPr>
      <w:r>
        <w:t xml:space="preserve">Address any technical issues or user concerns promptly.</w:t>
      </w:r>
    </w:p>
    <w:bookmarkEnd w:id="28"/>
    <w:bookmarkStart w:id="29" w:name="phase-3-evaluation"/>
    <w:p>
      <w:pPr>
        <w:pStyle w:val="Heading3"/>
      </w:pPr>
      <w:r>
        <w:t xml:space="preserve">4.3. Phase 3: Evaluation</w:t>
      </w:r>
    </w:p>
    <w:p>
      <w:pPr>
        <w:pStyle w:val="FirstParagraph"/>
      </w:pPr>
      <w:r>
        <w:t xml:space="preserve">Duration: 2 weeks</w:t>
      </w:r>
    </w:p>
    <w:p>
      <w:pPr>
        <w:numPr>
          <w:ilvl w:val="0"/>
          <w:numId w:val="1007"/>
        </w:numPr>
        <w:pStyle w:val="Compact"/>
      </w:pPr>
      <w:r>
        <w:t xml:space="preserve">Analyze collected data to assess the performance of the Architect system.</w:t>
      </w:r>
    </w:p>
    <w:p>
      <w:pPr>
        <w:numPr>
          <w:ilvl w:val="0"/>
          <w:numId w:val="1007"/>
        </w:numPr>
        <w:pStyle w:val="Compact"/>
      </w:pPr>
      <w:r>
        <w:t xml:space="preserve">Conduct user surveys and interviews to gather qualitative feedback.</w:t>
      </w:r>
    </w:p>
    <w:p>
      <w:pPr>
        <w:numPr>
          <w:ilvl w:val="0"/>
          <w:numId w:val="1007"/>
        </w:numPr>
        <w:pStyle w:val="Compact"/>
      </w:pPr>
      <w:r>
        <w:t xml:space="preserve">Compare results against baseline data and predefined success criteria.</w:t>
      </w:r>
    </w:p>
    <w:bookmarkEnd w:id="29"/>
    <w:bookmarkStart w:id="30" w:name="phase-4-reporting"/>
    <w:p>
      <w:pPr>
        <w:pStyle w:val="Heading3"/>
      </w:pPr>
      <w:r>
        <w:t xml:space="preserve">4.4. Phase 4: Reporting</w:t>
      </w:r>
    </w:p>
    <w:p>
      <w:pPr>
        <w:pStyle w:val="FirstParagraph"/>
      </w:pPr>
      <w:r>
        <w:t xml:space="preserve">Duration: 2 weeks</w:t>
      </w:r>
    </w:p>
    <w:p>
      <w:pPr>
        <w:numPr>
          <w:ilvl w:val="0"/>
          <w:numId w:val="1008"/>
        </w:numPr>
        <w:pStyle w:val="Compact"/>
      </w:pPr>
      <w:r>
        <w:t xml:space="preserve">Compile findings into a comprehensive report.</w:t>
      </w:r>
    </w:p>
    <w:p>
      <w:pPr>
        <w:numPr>
          <w:ilvl w:val="0"/>
          <w:numId w:val="1008"/>
        </w:numPr>
        <w:pStyle w:val="Compact"/>
      </w:pPr>
      <w:r>
        <w:t xml:space="preserve">Present results to stakeholders and recommend next steps.</w:t>
      </w:r>
    </w:p>
    <w:bookmarkEnd w:id="30"/>
    <w:bookmarkEnd w:id="31"/>
    <w:bookmarkStart w:id="32" w:name="risk-management"/>
    <w:p>
      <w:pPr>
        <w:pStyle w:val="Heading2"/>
      </w:pPr>
      <w:r>
        <w:t xml:space="preserve">5. Risk Management</w:t>
      </w:r>
    </w:p>
    <w:p>
      <w:pPr>
        <w:pStyle w:val="FirstParagraph"/>
      </w:pPr>
      <w:r>
        <w:t xml:space="preserve">Potential risks associated with this experiment include:</w:t>
      </w:r>
    </w:p>
    <w:p>
      <w:pPr>
        <w:numPr>
          <w:ilvl w:val="0"/>
          <w:numId w:val="1009"/>
        </w:numPr>
        <w:pStyle w:val="Compact"/>
      </w:pPr>
      <w:r>
        <w:t xml:space="preserve">Technical failures or downtime of the Architect system.</w:t>
      </w:r>
    </w:p>
    <w:p>
      <w:pPr>
        <w:numPr>
          <w:ilvl w:val="0"/>
          <w:numId w:val="1009"/>
        </w:numPr>
        <w:pStyle w:val="Compact"/>
      </w:pPr>
      <w:r>
        <w:t xml:space="preserve">Data privacy breaches or non-compliance with GDPR.</w:t>
      </w:r>
    </w:p>
    <w:p>
      <w:pPr>
        <w:numPr>
          <w:ilvl w:val="0"/>
          <w:numId w:val="1009"/>
        </w:numPr>
        <w:pStyle w:val="Compact"/>
      </w:pPr>
      <w:r>
        <w:t xml:space="preserve">Resistance or lack of engagement from local stakeholders.</w:t>
      </w:r>
    </w:p>
    <w:p>
      <w:pPr>
        <w:pStyle w:val="FirstParagraph"/>
      </w:pPr>
      <w:r>
        <w:t xml:space="preserve">Mitigation strategies will include regular system backups, strict adherence to data protection protocols, and continuous communication with stakeholders.</w:t>
      </w:r>
    </w:p>
    <w:bookmarkEnd w:id="32"/>
    <w:bookmarkStart w:id="33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 experiment will adhere to ethical guidelines and legal requirements in</w:t>
      </w:r>
      <w:r>
        <w:t xml:space="preserve"> </w:t>
      </w:r>
      <w:r>
        <w:t xml:space="preserve">Germany Frankfurt</w:t>
      </w:r>
      <w:r>
        <w:t xml:space="preserve">. Informed consent will be obtained from all participants, and data will be anonymized where necessary to protect privacy.</w:t>
      </w:r>
    </w:p>
    <w:bookmarkEnd w:id="33"/>
    <w:bookmarkStart w:id="34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evaluating the Architect system in</w:t>
      </w:r>
      <w:r>
        <w:t xml:space="preserve"> </w:t>
      </w:r>
      <w:r>
        <w:t xml:space="preserve">Germany Frankfurt</w:t>
      </w:r>
      <w:r>
        <w:t xml:space="preserve">. By following these procedures, we aim to gain valuable insights into the system's capabilities and its potential impact on architectural planning and resource management in urban environments.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Architect System Deployment in Germany Frankfurt</dc:title>
  <dc:creator/>
  <dc:language>en</dc:language>
  <cp:keywords/>
  <dcterms:created xsi:type="dcterms:W3CDTF">2026-10-10T02:15:59Z</dcterms:created>
  <dcterms:modified xsi:type="dcterms:W3CDTF">2026-10-10T02:15:59Z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