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Italy</w:t>
      </w:r>
      <w:r>
        <w:t xml:space="preserve"> </w:t>
      </w:r>
      <w:r>
        <w:t xml:space="preserve">Naples</w:t>
      </w:r>
    </w:p>
    <w:bookmarkStart w:id="20" w:name="experiment-protocol-architect"/>
    <w:p>
      <w:pPr>
        <w:pStyle w:val="Heading1"/>
      </w:pPr>
      <w:r>
        <w:t xml:space="preserve">Experiment Protocol: Architect</w:t>
      </w:r>
    </w:p>
    <w:p>
      <w:pPr>
        <w:pStyle w:val="FirstParagraph"/>
      </w:pPr>
      <w:r>
        <w:t xml:space="preserve">Operational Framework for Urban Integration and Cultural Analysis</w:t>
      </w:r>
    </w:p>
    <w:p>
      <w:pPr>
        <w:pStyle w:val="BodyText"/>
      </w:pPr>
      <w:r>
        <w:rPr>
          <w:bCs/>
          <w:b/>
        </w:rPr>
        <w:t xml:space="preserve">Location:</w:t>
      </w:r>
      <w:r>
        <w:t xml:space="preserve"> </w:t>
      </w:r>
      <w:r>
        <w:t xml:space="preserve">Italy Naples (Napoli)</w:t>
      </w:r>
    </w:p>
    <w:p>
      <w:pPr>
        <w:pStyle w:val="BodyText"/>
      </w:pPr>
      <w:r>
        <w:rPr>
          <w:bCs/>
          <w:b/>
        </w:rPr>
        <w:t xml:space="preserve">Subject:</w:t>
      </w:r>
      <w:r>
        <w:t xml:space="preserve"> </w:t>
      </w:r>
      <w:r>
        <w:t xml:space="preserve">Architect (Autonomous Design &amp; Urban Planning Agent)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constraints, and evaluation metrics for the deployment of the</w:t>
      </w:r>
      <w:r>
        <w:t xml:space="preserve"> </w:t>
      </w:r>
      <w:r>
        <w:rPr>
          <w:bCs/>
          <w:b/>
        </w:rPr>
        <w:t xml:space="preserve">Architect</w:t>
      </w:r>
      <w:r>
        <w:t xml:space="preserve"> </w:t>
      </w:r>
      <w:r>
        <w:t xml:space="preserve">system within the complex urban environment of</w:t>
      </w:r>
      <w:r>
        <w:t xml:space="preserve"> </w:t>
      </w:r>
      <w:r>
        <w:rPr>
          <w:bCs/>
          <w:b/>
        </w:rPr>
        <w:t xml:space="preserve">Italy Naples</w:t>
      </w:r>
      <w:r>
        <w:t xml:space="preserve">. The primary objective is to assess the capability of the Architect to generate sustainable, culturally sensitive, and structurally viable design solutions that harmonize with the historical and socio-economic fabric of Naples.</w:t>
      </w:r>
    </w:p>
    <w:p>
      <w:pPr>
        <w:pStyle w:val="BodyText"/>
      </w:pPr>
      <w:r>
        <w:t xml:space="preserve">Naples presents a unique challenge due to its dense historical center, seismic activity, and vibrant informal urban dynamics. The Architect must demonstrate adaptability to these specific local conditions while adhering to Italian building codes and European sustainability standards.</w:t>
      </w:r>
    </w:p>
    <w:bookmarkEnd w:id="21"/>
    <w:bookmarkStart w:id="22" w:name="scope-of-the-experiment"/>
    <w:p>
      <w:pPr>
        <w:pStyle w:val="Heading2"/>
      </w:pPr>
      <w:r>
        <w:t xml:space="preserve">2. Scope of the Experiment</w:t>
      </w:r>
    </w:p>
    <w:p>
      <w:pPr>
        <w:pStyle w:val="FirstParagraph"/>
      </w:pPr>
      <w:r>
        <w:t xml:space="preserve">The experiment will focus on three distinct zones within Naples to test the Architect's versatility:</w:t>
      </w:r>
    </w:p>
    <w:p>
      <w:pPr>
        <w:numPr>
          <w:ilvl w:val="0"/>
          <w:numId w:val="1001"/>
        </w:numPr>
        <w:pStyle w:val="Compact"/>
      </w:pPr>
      <w:r>
        <w:rPr>
          <w:bCs/>
          <w:b/>
        </w:rPr>
        <w:t xml:space="preserve">Historic Center (Centro Storico):</w:t>
      </w:r>
      <w:r>
        <w:t xml:space="preserve"> </w:t>
      </w:r>
      <w:r>
        <w:t xml:space="preserve">Testing preservation and micro-renovation capabilities.</w:t>
      </w:r>
    </w:p>
    <w:p>
      <w:pPr>
        <w:numPr>
          <w:ilvl w:val="0"/>
          <w:numId w:val="1001"/>
        </w:numPr>
        <w:pStyle w:val="Compact"/>
      </w:pPr>
      <w:r>
        <w:rPr>
          <w:bCs/>
          <w:b/>
        </w:rPr>
        <w:t xml:space="preserve">Emerging Districts (e.g., Quartieri Spagnoli):</w:t>
      </w:r>
      <w:r>
        <w:t xml:space="preserve"> </w:t>
      </w:r>
      <w:r>
        <w:t xml:space="preserve">Testing social integration and community-centric design.</w:t>
      </w:r>
    </w:p>
    <w:p>
      <w:pPr>
        <w:numPr>
          <w:ilvl w:val="0"/>
          <w:numId w:val="1001"/>
        </w:numPr>
        <w:pStyle w:val="Compact"/>
      </w:pPr>
      <w:r>
        <w:rPr>
          <w:bCs/>
          <w:b/>
        </w:rPr>
        <w:t xml:space="preserve">Coastal Industrial Zones:</w:t>
      </w:r>
      <w:r>
        <w:t xml:space="preserve"> </w:t>
      </w:r>
      <w:r>
        <w:t xml:space="preserve">Testing large-scale regeneration and environmental remediation.</w:t>
      </w:r>
    </w:p>
    <w:p>
      <w:pPr>
        <w:pStyle w:val="FirstParagraph"/>
      </w:pPr>
      <w:r>
        <w:t xml:space="preserve">The Architect will be tasked with generating conceptual designs, structural assessments, and material recommendations for hypothetical projects in these zones.</w:t>
      </w:r>
    </w:p>
    <w:bookmarkEnd w:id="22"/>
    <w:bookmarkStart w:id="25" w:name="pre-experiment-requirements"/>
    <w:p>
      <w:pPr>
        <w:pStyle w:val="Heading2"/>
      </w:pPr>
      <w:r>
        <w:t xml:space="preserve">3. Pre-Experiment Requirements</w:t>
      </w:r>
    </w:p>
    <w:bookmarkStart w:id="23" w:name="data-acquisition"/>
    <w:p>
      <w:pPr>
        <w:pStyle w:val="Heading3"/>
      </w:pPr>
      <w:r>
        <w:t xml:space="preserve">3.1 Data Acquisition</w:t>
      </w:r>
    </w:p>
    <w:p>
      <w:pPr>
        <w:pStyle w:val="FirstParagraph"/>
      </w:pPr>
      <w:r>
        <w:t xml:space="preserve">Before deployment, the Architect must ingest the following datasets specific to Italy Naples:</w:t>
      </w:r>
    </w:p>
    <w:p>
      <w:pPr>
        <w:numPr>
          <w:ilvl w:val="0"/>
          <w:numId w:val="1002"/>
        </w:numPr>
        <w:pStyle w:val="Compact"/>
      </w:pPr>
      <w:r>
        <w:t xml:space="preserve">High-resolution LiDAR scans of the target zones.</w:t>
      </w:r>
    </w:p>
    <w:p>
      <w:pPr>
        <w:numPr>
          <w:ilvl w:val="0"/>
          <w:numId w:val="1002"/>
        </w:numPr>
        <w:pStyle w:val="Compact"/>
      </w:pPr>
      <w:r>
        <w:t xml:space="preserve">Historical architectural records from the</w:t>
      </w:r>
      <w:r>
        <w:t xml:space="preserve"> </w:t>
      </w:r>
      <w:r>
        <w:rPr>
          <w:iCs/>
          <w:i/>
        </w:rPr>
        <w:t xml:space="preserve">Comune di Napoli</w:t>
      </w:r>
      <w:r>
        <w:t xml:space="preserve">.</w:t>
      </w:r>
    </w:p>
    <w:p>
      <w:pPr>
        <w:numPr>
          <w:ilvl w:val="0"/>
          <w:numId w:val="1002"/>
        </w:numPr>
        <w:pStyle w:val="Compact"/>
      </w:pPr>
      <w:r>
        <w:t xml:space="preserve">Seismic risk maps (Zona 1 classification) and geological surveys.</w:t>
      </w:r>
    </w:p>
    <w:p>
      <w:pPr>
        <w:numPr>
          <w:ilvl w:val="0"/>
          <w:numId w:val="1002"/>
        </w:numPr>
        <w:pStyle w:val="Compact"/>
      </w:pPr>
      <w:r>
        <w:t xml:space="preserve">Local climate data (Mediterranean climate patterns, humidity, temperature).</w:t>
      </w:r>
    </w:p>
    <w:p>
      <w:pPr>
        <w:numPr>
          <w:ilvl w:val="0"/>
          <w:numId w:val="1002"/>
        </w:numPr>
        <w:pStyle w:val="Compact"/>
      </w:pPr>
      <w:r>
        <w:t xml:space="preserve">Current Italian building regulations (Norme Tecniche per le Costruzioni - NTC 2018).</w:t>
      </w:r>
    </w:p>
    <w:bookmarkEnd w:id="23"/>
    <w:bookmarkStart w:id="24" w:name="stakeholder-alignment"/>
    <w:p>
      <w:pPr>
        <w:pStyle w:val="Heading3"/>
      </w:pPr>
      <w:r>
        <w:t xml:space="preserve">3.2 Stakeholder Alignment</w:t>
      </w:r>
    </w:p>
    <w:p>
      <w:pPr>
        <w:pStyle w:val="FirstParagraph"/>
      </w:pPr>
      <w:r>
        <w:t xml:space="preserve">The protocol requires consultation with local stakeholders, including urban planners, historians, and community representatives, to define cultural constraints. The Architect must be calibrated to respect the aesthetic and functional values of Neapolitan architecture, such as the use of local stone (Tufo), courtyards, and narrow street networks.</w:t>
      </w:r>
    </w:p>
    <w:bookmarkEnd w:id="24"/>
    <w:bookmarkEnd w:id="25"/>
    <w:bookmarkStart w:id="29" w:name="experimental-procedure"/>
    <w:p>
      <w:pPr>
        <w:pStyle w:val="Heading2"/>
      </w:pPr>
      <w:r>
        <w:t xml:space="preserve">4. Experimental Procedure</w:t>
      </w:r>
    </w:p>
    <w:bookmarkStart w:id="26" w:name="phase-1-contextual-analysis"/>
    <w:p>
      <w:pPr>
        <w:pStyle w:val="Heading3"/>
      </w:pPr>
      <w:r>
        <w:t xml:space="preserve">4.1 Phase 1: Contextual Analysis</w:t>
      </w:r>
    </w:p>
    <w:p>
      <w:pPr>
        <w:pStyle w:val="FirstParagraph"/>
      </w:pPr>
      <w:r>
        <w:t xml:space="preserve">The Architect will perform an automated analysis of the selected site. This includes evaluating sunlight exposure, wind patterns, noise levels, and pedestrian flow. The system must identify potential conflicts with existing heritage structures.</w:t>
      </w:r>
    </w:p>
    <w:bookmarkEnd w:id="26"/>
    <w:bookmarkStart w:id="27" w:name="phase-2-design-generation"/>
    <w:p>
      <w:pPr>
        <w:pStyle w:val="Heading3"/>
      </w:pPr>
      <w:r>
        <w:t xml:space="preserve">4.2 Phase 2: Design Generation</w:t>
      </w:r>
    </w:p>
    <w:p>
      <w:pPr>
        <w:pStyle w:val="FirstParagraph"/>
      </w:pPr>
      <w:r>
        <w:t xml:space="preserve">The Architect will generate three distinct design proposals for each zone. Each proposal must include:</w:t>
      </w:r>
    </w:p>
    <w:p>
      <w:pPr>
        <w:numPr>
          <w:ilvl w:val="0"/>
          <w:numId w:val="1003"/>
        </w:numPr>
        <w:pStyle w:val="Compact"/>
      </w:pPr>
      <w:r>
        <w:t xml:space="preserve">3D modeling of the proposed structure.</w:t>
      </w:r>
    </w:p>
    <w:p>
      <w:pPr>
        <w:numPr>
          <w:ilvl w:val="0"/>
          <w:numId w:val="1003"/>
        </w:numPr>
        <w:pStyle w:val="Compact"/>
      </w:pPr>
      <w:r>
        <w:t xml:space="preserve">Structural integrity analysis considering seismic loads.</w:t>
      </w:r>
    </w:p>
    <w:p>
      <w:pPr>
        <w:numPr>
          <w:ilvl w:val="0"/>
          <w:numId w:val="1003"/>
        </w:numPr>
        <w:pStyle w:val="Compact"/>
      </w:pPr>
      <w:r>
        <w:t xml:space="preserve">Energy efficiency simulation (targeting LEED or Italian A4 certification).</w:t>
      </w:r>
    </w:p>
    <w:p>
      <w:pPr>
        <w:numPr>
          <w:ilvl w:val="0"/>
          <w:numId w:val="1003"/>
        </w:numPr>
        <w:pStyle w:val="Compact"/>
      </w:pPr>
      <w:r>
        <w:t xml:space="preserve">Material sourcing plan prioritizing local suppliers to reduce carbon footprint.</w:t>
      </w:r>
    </w:p>
    <w:bookmarkEnd w:id="27"/>
    <w:bookmarkStart w:id="28" w:name="phase-3-human-in-the-loop-review"/>
    <w:p>
      <w:pPr>
        <w:pStyle w:val="Heading3"/>
      </w:pPr>
      <w:r>
        <w:t xml:space="preserve">4.3 Phase 3: Human-in-the-Loop Review</w:t>
      </w:r>
    </w:p>
    <w:p>
      <w:pPr>
        <w:pStyle w:val="FirstParagraph"/>
      </w:pPr>
      <w:r>
        <w:t xml:space="preserve">A panel of expert architects and urban planners from Naples will review the Architect's outputs. They will score each proposal based on:</w:t>
      </w:r>
    </w:p>
    <w:p>
      <w:pPr>
        <w:numPr>
          <w:ilvl w:val="0"/>
          <w:numId w:val="1004"/>
        </w:numPr>
        <w:pStyle w:val="Compact"/>
      </w:pPr>
      <w:r>
        <w:rPr>
          <w:bCs/>
          <w:b/>
        </w:rPr>
        <w:t xml:space="preserve">Aesthetic Harmony:</w:t>
      </w:r>
      <w:r>
        <w:t xml:space="preserve"> </w:t>
      </w:r>
      <w:r>
        <w:t xml:space="preserve">Does the design respect the local character?</w:t>
      </w:r>
    </w:p>
    <w:p>
      <w:pPr>
        <w:numPr>
          <w:ilvl w:val="0"/>
          <w:numId w:val="1004"/>
        </w:numPr>
        <w:pStyle w:val="Compact"/>
      </w:pPr>
      <w:r>
        <w:rPr>
          <w:bCs/>
          <w:b/>
        </w:rPr>
        <w:t xml:space="preserve">Functional Viability:</w:t>
      </w:r>
      <w:r>
        <w:t xml:space="preserve"> </w:t>
      </w:r>
      <w:r>
        <w:t xml:space="preserve">Is the design practical for daily use?</w:t>
      </w:r>
    </w:p>
    <w:p>
      <w:pPr>
        <w:numPr>
          <w:ilvl w:val="0"/>
          <w:numId w:val="1004"/>
        </w:numPr>
        <w:pStyle w:val="Compact"/>
      </w:pPr>
      <w:r>
        <w:rPr>
          <w:bCs/>
          <w:b/>
        </w:rPr>
        <w:t xml:space="preserve">Regulatory Compliance:</w:t>
      </w:r>
      <w:r>
        <w:t xml:space="preserve"> </w:t>
      </w:r>
      <w:r>
        <w:t xml:space="preserve">Does it meet all legal requirements?</w:t>
      </w:r>
    </w:p>
    <w:p>
      <w:pPr>
        <w:numPr>
          <w:ilvl w:val="0"/>
          <w:numId w:val="1004"/>
        </w:numPr>
        <w:pStyle w:val="Compact"/>
      </w:pPr>
      <w:r>
        <w:rPr>
          <w:bCs/>
          <w:b/>
        </w:rPr>
        <w:t xml:space="preserve">Innovation:</w:t>
      </w:r>
      <w:r>
        <w:t xml:space="preserve"> </w:t>
      </w:r>
      <w:r>
        <w:t xml:space="preserve">Does it offer novel solutions to urban challenges?</w:t>
      </w:r>
    </w:p>
    <w:bookmarkEnd w:id="28"/>
    <w:bookmarkEnd w:id="29"/>
    <w:bookmarkStart w:id="30" w:name="safety-and-ethical-considerations"/>
    <w:p>
      <w:pPr>
        <w:pStyle w:val="Heading2"/>
      </w:pPr>
      <w:r>
        <w:t xml:space="preserve">5. Safety and Ethical Considerations</w:t>
      </w:r>
    </w:p>
    <w:p>
      <w:pPr>
        <w:pStyle w:val="FirstParagraph"/>
      </w:pPr>
      <w:r>
        <w:rPr>
          <w:bCs/>
          <w:b/>
        </w:rPr>
        <w:t xml:space="preserve">Important:</w:t>
      </w:r>
      <w:r>
        <w:t xml:space="preserve"> </w:t>
      </w:r>
      <w:r>
        <w:t xml:space="preserve">The Architect is an experimental tool. All designs must be verified by licensed professionals before any physical implementation.</w:t>
      </w:r>
    </w:p>
    <w:p>
      <w:pPr>
        <w:pStyle w:val="BodyText"/>
      </w:pPr>
      <w:r>
        <w:t xml:space="preserve">The protocol mandates strict adherence to ethical guidelines regarding data privacy and community impact. The Architect must avoid designs that could lead to gentrification or displacement of local residents. Special attention must be paid to the preservation of cultural heritage sites, ensuring that no proposed design compromises the integrity of UNESCO World Heritage areas within Naples.</w:t>
      </w:r>
    </w:p>
    <w:bookmarkEnd w:id="30"/>
    <w:bookmarkStart w:id="31" w:name="evaluation-metrics"/>
    <w:p>
      <w:pPr>
        <w:pStyle w:val="Heading2"/>
      </w:pPr>
      <w:r>
        <w:t xml:space="preserve">6. Evaluation Metrics</w:t>
      </w:r>
    </w:p>
    <w:p>
      <w:pPr>
        <w:pStyle w:val="FirstParagraph"/>
      </w:pPr>
      <w:r>
        <w:t xml:space="preserve">The success of the experiment will be measured using the following Key Performance Indicators (KPIs):</w:t>
      </w:r>
    </w:p>
    <w:p>
      <w:pPr>
        <w:numPr>
          <w:ilvl w:val="0"/>
          <w:numId w:val="1005"/>
        </w:numPr>
        <w:pStyle w:val="Compact"/>
      </w:pPr>
      <w:r>
        <w:rPr>
          <w:bCs/>
          <w:b/>
        </w:rPr>
        <w:t xml:space="preserve">Design Acceptance Rate:</w:t>
      </w:r>
      <w:r>
        <w:t xml:space="preserve"> </w:t>
      </w:r>
      <w:r>
        <w:t xml:space="preserve">Percentage of proposals approved by the expert panel.</w:t>
      </w:r>
    </w:p>
    <w:p>
      <w:pPr>
        <w:numPr>
          <w:ilvl w:val="0"/>
          <w:numId w:val="1005"/>
        </w:numPr>
        <w:pStyle w:val="Compact"/>
      </w:pPr>
      <w:r>
        <w:rPr>
          <w:bCs/>
          <w:b/>
        </w:rPr>
        <w:t xml:space="preserve">Regulatory Compliance Score:</w:t>
      </w:r>
      <w:r>
        <w:t xml:space="preserve"> </w:t>
      </w:r>
      <w:r>
        <w:t xml:space="preserve">Number of iterations required to meet legal standards.</w:t>
      </w:r>
    </w:p>
    <w:p>
      <w:pPr>
        <w:numPr>
          <w:ilvl w:val="0"/>
          <w:numId w:val="1005"/>
        </w:numPr>
        <w:pStyle w:val="Compact"/>
      </w:pPr>
      <w:r>
        <w:rPr>
          <w:bCs/>
          <w:b/>
        </w:rPr>
        <w:t xml:space="preserve">Sustainability Index:</w:t>
      </w:r>
      <w:r>
        <w:t xml:space="preserve"> </w:t>
      </w:r>
      <w:r>
        <w:t xml:space="preserve">Estimated reduction in carbon emissions compared to conventional designs.</w:t>
      </w:r>
    </w:p>
    <w:p>
      <w:pPr>
        <w:numPr>
          <w:ilvl w:val="0"/>
          <w:numId w:val="1005"/>
        </w:numPr>
        <w:pStyle w:val="Compact"/>
      </w:pPr>
      <w:r>
        <w:rPr>
          <w:bCs/>
          <w:b/>
        </w:rPr>
        <w:t xml:space="preserve">Cultural Sensitivity Rating:</w:t>
      </w:r>
      <w:r>
        <w:t xml:space="preserve"> </w:t>
      </w:r>
      <w:r>
        <w:t xml:space="preserve">Qualitative assessment by local historians and community leaders.</w:t>
      </w:r>
    </w:p>
    <w:bookmarkEnd w:id="31"/>
    <w:bookmarkStart w:id="32" w:name="conclusion-and-next-steps"/>
    <w:p>
      <w:pPr>
        <w:pStyle w:val="Heading2"/>
      </w:pPr>
      <w:r>
        <w:t xml:space="preserve">7. Conclusion and Next Steps</w:t>
      </w:r>
    </w:p>
    <w:p>
      <w:pPr>
        <w:pStyle w:val="FirstParagraph"/>
      </w:pPr>
      <w:r>
        <w:t xml:space="preserve">This Experiment Protocol provides a structured approach to testing the Architect in the unique context of Italy Naples. By focusing on cultural integration, regulatory compliance, and sustainability, the experiment aims to demonstrate the potential of AI-driven design tools in enhancing urban environments. Upon completion, the findings will be used to refine the Architect's algorithms and prepare for broader deployment in other Mediterranean cities.</w:t>
      </w:r>
    </w:p>
    <w:bookmarkEnd w:id="32"/>
    <w:p>
      <w:pPr>
        <w:pStyle w:val="BodyText"/>
      </w:pPr>
      <w:r>
        <w:t xml:space="preserve">© 2023 Experiment Protocol: Architect. All rights reserved. | Prepared for use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Italy Naples</dc:title>
  <dc:creator/>
  <dc:language>en</dc:language>
  <cp:keywords/>
  <dcterms:created xsi:type="dcterms:W3CDTF">2026-10-10T06:14:33Z</dcterms:created>
  <dcterms:modified xsi:type="dcterms:W3CDTF">2026-10-10T06:14:33Z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