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Deployment</w:t>
      </w:r>
      <w:r>
        <w:t xml:space="preserve"> </w:t>
      </w:r>
      <w:r>
        <w:t xml:space="preserve">in</w:t>
      </w:r>
      <w:r>
        <w:t xml:space="preserve"> </w:t>
      </w:r>
      <w:r>
        <w:t xml:space="preserve">Japan</w:t>
      </w:r>
      <w:r>
        <w:t xml:space="preserve"> </w:t>
      </w:r>
      <w:r>
        <w:t xml:space="preserve">Osaka</w:t>
      </w:r>
    </w:p>
    <w:bookmarkStart w:id="30" w:name="X8186785a4869ecdcc7702b20818de848301b89d"/>
    <w:p>
      <w:pPr>
        <w:pStyle w:val="Heading1"/>
      </w:pPr>
      <w:r>
        <w:t xml:space="preserve">Experiment Protocol: Architect System Deployment</w:t>
      </w:r>
    </w:p>
    <w:p>
      <w:pPr>
        <w:pStyle w:val="FirstParagraph"/>
      </w:pPr>
      <w:r>
        <w:rPr>
          <w:bCs/>
          <w:b/>
        </w:rPr>
        <w:t xml:space="preserve">Project Name:</w:t>
      </w:r>
      <w:r>
        <w:t xml:space="preserve"> </w:t>
      </w:r>
      <w:r>
        <w:t xml:space="preserve">Architect Urban Integration Initiative</w:t>
      </w:r>
    </w:p>
    <w:p>
      <w:pPr>
        <w:pStyle w:val="BodyText"/>
      </w:pPr>
      <w:r>
        <w:rPr>
          <w:bCs/>
          <w:b/>
        </w:rPr>
        <w:t xml:space="preserve">Location:</w:t>
      </w:r>
      <w:r>
        <w:t xml:space="preserve"> </w:t>
      </w:r>
      <w:r>
        <w:t xml:space="preserve">Japan Osaka (Umeda and Namba Districts)</w:t>
      </w:r>
    </w:p>
    <w:p>
      <w:pPr>
        <w:pStyle w:val="BodyText"/>
      </w:pPr>
      <w:r>
        <w:rPr>
          <w:bCs/>
          <w:b/>
        </w:rPr>
        <w:t xml:space="preserve">Protocol Version:</w:t>
      </w:r>
      <w:r>
        <w:t xml:space="preserve"> </w:t>
      </w:r>
      <w:r>
        <w:t xml:space="preserve">2.4.1</w:t>
      </w:r>
    </w:p>
    <w:p>
      <w:pPr>
        <w:pStyle w:val="BodyText"/>
      </w:pPr>
      <w:r>
        <w:rPr>
          <w:bCs/>
          <w:b/>
        </w:rPr>
        <w:t xml:space="preserve">Date of Issue:</w:t>
      </w:r>
      <w:r>
        <w:t xml:space="preserve"> </w:t>
      </w:r>
      <w:r>
        <w:t xml:space="preserve">October 24, 2023</w:t>
      </w:r>
    </w:p>
    <w:p>
      <w:pPr>
        <w:pStyle w:val="BodyText"/>
      </w:pPr>
      <w:r>
        <w:rPr>
          <w:bCs/>
          <w:b/>
        </w:rPr>
        <w:t xml:space="preserve">Lead Investigator:</w:t>
      </w:r>
      <w:r>
        <w:t xml:space="preserve"> </w:t>
      </w:r>
      <w:r>
        <w:t xml:space="preserve">Dr. Kenji Tanaka</w:t>
      </w:r>
    </w:p>
    <w:bookmarkStart w:id="20" w:name="introduction-and-objective"/>
    <w:p>
      <w:pPr>
        <w:pStyle w:val="Heading2"/>
      </w:pPr>
      <w:r>
        <w:t xml:space="preserve">1. Introduction and Objective</w:t>
      </w:r>
    </w:p>
    <w:p>
      <w:pPr>
        <w:pStyle w:val="FirstParagraph"/>
      </w:pPr>
      <w:r>
        <w:t xml:space="preserve">This Experiment Protocol outlines the rigorous procedures for the deployment and evaluation of the</w:t>
      </w:r>
      <w:r>
        <w:t xml:space="preserve"> </w:t>
      </w:r>
      <w:r>
        <w:rPr>
          <w:bCs/>
          <w:b/>
        </w:rPr>
        <w:t xml:space="preserve">Architect</w:t>
      </w:r>
      <w:r>
        <w:t xml:space="preserve"> </w:t>
      </w:r>
      <w:r>
        <w:t xml:space="preserve">system within the metropolitan environment of</w:t>
      </w:r>
      <w:r>
        <w:t xml:space="preserve"> </w:t>
      </w:r>
      <w:r>
        <w:rPr>
          <w:bCs/>
          <w:b/>
        </w:rPr>
        <w:t xml:space="preserve">Japan Osaka</w:t>
      </w:r>
      <w:r>
        <w:t xml:space="preserve">. The Architect is an advanced autonomous spatial planning and structural optimization framework designed to interact with existing urban infrastructure. The primary objective of this experiment is to assess the Architect's capability to analyze, simulate, and propose real-time structural modifications to enhance energy efficiency and pedestrian flow in high-density zones.</w:t>
      </w:r>
    </w:p>
    <w:p>
      <w:pPr>
        <w:pStyle w:val="BodyText"/>
      </w:pPr>
      <w:r>
        <w:t xml:space="preserve">Given the unique topographical and cultural constraints of Osaka, this protocol is specifically tailored to ensure that the Architect operates within the strict regulatory frameworks of the Japanese Ministry of Land, Infrastructure, Transport and Tourism (MLIT). The experiment aims to bridge the gap between theoretical algorithmic architecture and practical application in a bustling Japanese metropolis.</w:t>
      </w:r>
    </w:p>
    <w:bookmarkEnd w:id="20"/>
    <w:bookmarkStart w:id="21" w:name="scope-and-site-selection"/>
    <w:p>
      <w:pPr>
        <w:pStyle w:val="Heading2"/>
      </w:pPr>
      <w:r>
        <w:t xml:space="preserve">2. Scope and Site Selection</w:t>
      </w:r>
    </w:p>
    <w:p>
      <w:pPr>
        <w:pStyle w:val="FirstParagraph"/>
      </w:pPr>
      <w:r>
        <w:t xml:space="preserve">The experiment will be confined to two primary zones in Osaka, chosen for their contrasting architectural profiles:</w:t>
      </w:r>
    </w:p>
    <w:p>
      <w:pPr>
        <w:numPr>
          <w:ilvl w:val="0"/>
          <w:numId w:val="1001"/>
        </w:numPr>
        <w:pStyle w:val="Compact"/>
      </w:pPr>
      <w:r>
        <w:rPr>
          <w:bCs/>
          <w:b/>
        </w:rPr>
        <w:t xml:space="preserve">Zone A (Umeda):</w:t>
      </w:r>
      <w:r>
        <w:t xml:space="preserve"> </w:t>
      </w:r>
      <w:r>
        <w:t xml:space="preserve">Characterized by high-rise commercial skyscrapers and complex underground networks. The Architect will focus on vertical integration and subterranean connectivity.</w:t>
      </w:r>
    </w:p>
    <w:p>
      <w:pPr>
        <w:numPr>
          <w:ilvl w:val="0"/>
          <w:numId w:val="1001"/>
        </w:numPr>
        <w:pStyle w:val="Compact"/>
      </w:pPr>
      <w:r>
        <w:rPr>
          <w:bCs/>
          <w:b/>
        </w:rPr>
        <w:t xml:space="preserve">Zone B (Namba):</w:t>
      </w:r>
      <w:r>
        <w:t xml:space="preserve"> </w:t>
      </w:r>
      <w:r>
        <w:t xml:space="preserve">Characterized by dense retail districts and traditional mixed-use buildings. The Architect will focus on facade optimization and pedestrian heat-mapping.</w:t>
      </w:r>
    </w:p>
    <w:p>
      <w:pPr>
        <w:pStyle w:val="FirstParagraph"/>
      </w:pPr>
      <w:r>
        <w:t xml:space="preserve">All activities involving the Architect must remain within the designated geofenced areas. Any deviation requires immediate suspension of the experiment and notification of the Osaka Municipal Bureau of Construction.</w:t>
      </w:r>
    </w:p>
    <w:bookmarkEnd w:id="21"/>
    <w:bookmarkStart w:id="25" w:name="methodology"/>
    <w:p>
      <w:pPr>
        <w:pStyle w:val="Heading2"/>
      </w:pPr>
      <w:r>
        <w:t xml:space="preserve">3. Methodology</w:t>
      </w:r>
    </w:p>
    <w:bookmarkStart w:id="22" w:name="data-acquisition-phase"/>
    <w:p>
      <w:pPr>
        <w:pStyle w:val="Heading3"/>
      </w:pPr>
      <w:r>
        <w:t xml:space="preserve">3.1 Data Acquisition Phase</w:t>
      </w:r>
    </w:p>
    <w:p>
      <w:pPr>
        <w:pStyle w:val="FirstParagraph"/>
      </w:pPr>
      <w:r>
        <w:t xml:space="preserve">The Architect will utilize LiDAR scanning and IoT sensor arrays to create a digital twin of the target zones. This phase involves collecting data on wind patterns, solar exposure, and foot traffic density. In accordance with Japanese privacy laws, all visual data captured by the Architect must be anonymized immediately upon ingestion.</w:t>
      </w:r>
    </w:p>
    <w:bookmarkEnd w:id="22"/>
    <w:bookmarkStart w:id="23" w:name="simulation-and-modeling"/>
    <w:p>
      <w:pPr>
        <w:pStyle w:val="Heading3"/>
      </w:pPr>
      <w:r>
        <w:t xml:space="preserve">3.2 Simulation and Modeling</w:t>
      </w:r>
    </w:p>
    <w:p>
      <w:pPr>
        <w:pStyle w:val="FirstParagraph"/>
      </w:pPr>
      <w:r>
        <w:t xml:space="preserve">Using the acquired data, the Architect will run iterative simulations to propose structural enhancements. These proposals will be evaluated against three key metrics:</w:t>
      </w:r>
    </w:p>
    <w:p>
      <w:pPr>
        <w:numPr>
          <w:ilvl w:val="0"/>
          <w:numId w:val="1002"/>
        </w:numPr>
        <w:pStyle w:val="Compact"/>
      </w:pPr>
      <w:r>
        <w:t xml:space="preserve">Seismic resilience (compliance with the Building Standards Act).</w:t>
      </w:r>
    </w:p>
    <w:p>
      <w:pPr>
        <w:numPr>
          <w:ilvl w:val="0"/>
          <w:numId w:val="1002"/>
        </w:numPr>
        <w:pStyle w:val="Compact"/>
      </w:pPr>
      <w:r>
        <w:t xml:space="preserve">Energy consumption reduction potential.</w:t>
      </w:r>
    </w:p>
    <w:p>
      <w:pPr>
        <w:numPr>
          <w:ilvl w:val="0"/>
          <w:numId w:val="1002"/>
        </w:numPr>
        <w:pStyle w:val="Compact"/>
      </w:pPr>
      <w:r>
        <w:t xml:space="preserve">Impact on local aesthetic harmony.</w:t>
      </w:r>
    </w:p>
    <w:bookmarkEnd w:id="23"/>
    <w:bookmarkStart w:id="24" w:name="physical-prototyping"/>
    <w:p>
      <w:pPr>
        <w:pStyle w:val="Heading3"/>
      </w:pPr>
      <w:r>
        <w:t xml:space="preserve">3.3 Physical Prototyping</w:t>
      </w:r>
    </w:p>
    <w:p>
      <w:pPr>
        <w:pStyle w:val="FirstParagraph"/>
      </w:pPr>
      <w:r>
        <w:t xml:space="preserve">Selected proposals generated by the Architect will be constructed as temporary physical prototypes in designated public plazas. These prototypes will serve as tangible evidence of the system's efficacy and will be monitored for structural integrity and public interaction over a period of 30 days.</w:t>
      </w:r>
    </w:p>
    <w:bookmarkEnd w:id="24"/>
    <w:bookmarkEnd w:id="25"/>
    <w:bookmarkStart w:id="26" w:name="safety-and-risk-management"/>
    <w:p>
      <w:pPr>
        <w:pStyle w:val="Heading2"/>
      </w:pPr>
      <w:r>
        <w:t xml:space="preserve">4. Safety and Risk Management</w:t>
      </w:r>
    </w:p>
    <w:p>
      <w:pPr>
        <w:pStyle w:val="FirstParagraph"/>
      </w:pPr>
      <w:r>
        <w:rPr>
          <w:bCs/>
          <w:b/>
        </w:rPr>
        <w:t xml:space="preserve">CRITICAL SAFETY NOTICE:</w:t>
      </w:r>
      <w:r>
        <w:t xml:space="preserve"> </w:t>
      </w:r>
      <w:r>
        <w:t xml:space="preserve">The Architect operates with high-level autonomy. Human oversight is mandatory at all times. In the event of a system anomaly, the "Kill Switch" protocol must be activated immediately to halt all data processing and mechanical operations.</w:t>
      </w:r>
    </w:p>
    <w:p>
      <w:pPr>
        <w:pStyle w:val="BodyText"/>
      </w:pPr>
      <w:r>
        <w:t xml:space="preserve">Safety is the paramount concern of this Experiment Protocol. The following measures are strictly enforced:</w:t>
      </w:r>
    </w:p>
    <w:p>
      <w:pPr>
        <w:numPr>
          <w:ilvl w:val="0"/>
          <w:numId w:val="1003"/>
        </w:numPr>
        <w:pStyle w:val="Compact"/>
      </w:pPr>
      <w:r>
        <w:rPr>
          <w:bCs/>
          <w:b/>
        </w:rPr>
        <w:t xml:space="preserve">Seismic Monitoring:</w:t>
      </w:r>
      <w:r>
        <w:t xml:space="preserve"> </w:t>
      </w:r>
      <w:r>
        <w:t xml:space="preserve">The Architect is equipped with real-time seismic sensors. In the event of a tremor exceeding magnitude 3.0, the system will automatically enter a dormant state to prevent interference with emergency infrastructure.</w:t>
      </w:r>
    </w:p>
    <w:p>
      <w:pPr>
        <w:numPr>
          <w:ilvl w:val="0"/>
          <w:numId w:val="1003"/>
        </w:numPr>
        <w:pStyle w:val="Compact"/>
      </w:pPr>
      <w:r>
        <w:rPr>
          <w:bCs/>
          <w:b/>
        </w:rPr>
        <w:t xml:space="preserve">Public Safety:</w:t>
      </w:r>
      <w:r>
        <w:t xml:space="preserve"> </w:t>
      </w:r>
      <w:r>
        <w:t xml:space="preserve">All physical prototypes generated by the Architect must be inspected and certified by a licensed Japanese structural engineer before public access is permitted.</w:t>
      </w:r>
    </w:p>
    <w:p>
      <w:pPr>
        <w:numPr>
          <w:ilvl w:val="0"/>
          <w:numId w:val="1003"/>
        </w:numPr>
        <w:pStyle w:val="Compact"/>
      </w:pPr>
      <w:r>
        <w:rPr>
          <w:bCs/>
          <w:b/>
        </w:rPr>
        <w:t xml:space="preserve">Data Security:</w:t>
      </w:r>
      <w:r>
        <w:t xml:space="preserve"> </w:t>
      </w:r>
      <w:r>
        <w:t xml:space="preserve">All data processed by the Architect must be stored on servers located within Japan to comply with the Act on the Protection of Personal Information (APPI).</w:t>
      </w:r>
    </w:p>
    <w:bookmarkEnd w:id="26"/>
    <w:bookmarkStart w:id="27" w:name="Xf87968d30504124dc4bfa97423cea7be6b2ff3f"/>
    <w:p>
      <w:pPr>
        <w:pStyle w:val="Heading2"/>
      </w:pPr>
      <w:r>
        <w:t xml:space="preserve">5. Ethical Considerations and Cultural Sensitivity</w:t>
      </w:r>
    </w:p>
    <w:p>
      <w:pPr>
        <w:pStyle w:val="FirstParagraph"/>
      </w:pPr>
      <w:r>
        <w:t xml:space="preserve">Operating in Japan Osaka requires a deep respect for local culture and community norms. The Architect's algorithms have been adjusted to prioritize "wa" (harmony) in its design proposals, ensuring that new structures do not visually clash with the surrounding environment. Furthermore, the experiment will include a community feedback loop, where local residents can review and comment on the Architect's proposals. This ensures that the technology serves the community rather than imposing upon it.</w:t>
      </w:r>
    </w:p>
    <w:bookmarkEnd w:id="27"/>
    <w:bookmarkStart w:id="28" w:name="data-analysis-and-reporting"/>
    <w:p>
      <w:pPr>
        <w:pStyle w:val="Heading2"/>
      </w:pPr>
      <w:r>
        <w:t xml:space="preserve">6. Data Analysis and Reporting</w:t>
      </w:r>
    </w:p>
    <w:p>
      <w:pPr>
        <w:pStyle w:val="FirstParagraph"/>
      </w:pPr>
      <w:r>
        <w:t xml:space="preserve">Data collected during the experiment will be analyzed using statistical methods to determine the Architect's performance relative to the baseline objectives.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Energy Efficiency</w:t>
            </w:r>
          </w:p>
        </w:tc>
        <w:tc>
          <w:tcPr/>
          <w:p>
            <w:pPr>
              <w:pStyle w:val="Compact"/>
              <w:jc w:val="left"/>
            </w:pPr>
            <w:r>
              <w:t xml:space="preserve">15% Reduction</w:t>
            </w:r>
          </w:p>
        </w:tc>
        <w:tc>
          <w:tcPr/>
          <w:p>
            <w:pPr>
              <w:pStyle w:val="Compact"/>
              <w:jc w:val="left"/>
            </w:pPr>
            <w:r>
              <w:t xml:space="preserve">Smart Grid Integration Logs</w:t>
            </w:r>
          </w:p>
        </w:tc>
      </w:tr>
      <w:tr>
        <w:tc>
          <w:tcPr/>
          <w:p>
            <w:pPr>
              <w:pStyle w:val="Compact"/>
              <w:jc w:val="left"/>
            </w:pPr>
            <w:r>
              <w:t xml:space="preserve">Structural Integrity</w:t>
            </w:r>
          </w:p>
        </w:tc>
        <w:tc>
          <w:tcPr/>
          <w:p>
            <w:pPr>
              <w:pStyle w:val="Compact"/>
              <w:jc w:val="left"/>
            </w:pPr>
            <w:r>
              <w:t xml:space="preserve">100% Compliance</w:t>
            </w:r>
          </w:p>
        </w:tc>
        <w:tc>
          <w:tcPr/>
          <w:p>
            <w:pPr>
              <w:pStyle w:val="Compact"/>
              <w:jc w:val="left"/>
            </w:pPr>
            <w:r>
              <w:t xml:space="preserve">MLIT Standards Audit</w:t>
            </w:r>
          </w:p>
        </w:tc>
      </w:tr>
      <w:tr>
        <w:tc>
          <w:tcPr/>
          <w:p>
            <w:pPr>
              <w:pStyle w:val="Compact"/>
              <w:jc w:val="left"/>
            </w:pPr>
            <w:r>
              <w:t xml:space="preserve">Public Acceptance</w:t>
            </w:r>
          </w:p>
        </w:tc>
        <w:tc>
          <w:tcPr/>
          <w:p>
            <w:pPr>
              <w:pStyle w:val="Compact"/>
              <w:jc w:val="left"/>
            </w:pPr>
            <w:r>
              <w:t xml:space="preserve">70% Positive</w:t>
            </w:r>
          </w:p>
        </w:tc>
        <w:tc>
          <w:tcPr/>
          <w:p>
            <w:pPr>
              <w:pStyle w:val="Compact"/>
              <w:jc w:val="left"/>
            </w:pPr>
            <w:r>
              <w:t xml:space="preserve">Survey and Feedback Analysis</w:t>
            </w:r>
          </w:p>
        </w:tc>
      </w:tr>
    </w:tbl>
    <w:p>
      <w:pPr>
        <w:pStyle w:val="BodyText"/>
      </w:pPr>
      <w:r>
        <w:t xml:space="preserve">A comprehensive report detailing the findings, challenges, and recommendations will be submitted to the Osaka City Government and the funding bodies within 60 days of the experiment's conclusion.</w:t>
      </w:r>
    </w:p>
    <w:bookmarkEnd w:id="28"/>
    <w:bookmarkStart w:id="29" w:name="conclusion"/>
    <w:p>
      <w:pPr>
        <w:pStyle w:val="Heading2"/>
      </w:pPr>
      <w:r>
        <w:t xml:space="preserve">7. Conclusion</w:t>
      </w:r>
    </w:p>
    <w:p>
      <w:pPr>
        <w:pStyle w:val="FirstParagraph"/>
      </w:pPr>
      <w:r>
        <w:t xml:space="preserve">This Experiment Protocol provides a structured framework for the safe and effective deployment of the Architect in Japan Osaka. By adhering to these guidelines, we aim to demonstrate the transformative potential of autonomous architectural systems while respecting the unique cultural and regulatory landscape of Osaka. The success of this experiment will pave the way for future integrations of advanced AI-driven design in urban environments globally.</w:t>
      </w:r>
    </w:p>
    <w:p>
      <w:pPr>
        <w:pStyle w:val="BodyText"/>
      </w:pPr>
      <w:r>
        <w:rPr>
          <w:bCs/>
          <w:b/>
        </w:rPr>
        <w:t xml:space="preserve">Lead Investigator Signature:</w:t>
      </w:r>
    </w:p>
    <w:p>
      <w:pPr>
        <w:pStyle w:val="BodyText"/>
      </w:pPr>
      <w:r>
        <w:t xml:space="preserve">__________________________</w:t>
      </w:r>
    </w:p>
    <w:p>
      <w:pPr>
        <w:pStyle w:val="BodyText"/>
      </w:pPr>
      <w:r>
        <w:t xml:space="preserve">Dr. Kenji Tanaka</w:t>
      </w:r>
    </w:p>
    <w:p>
      <w:pPr>
        <w:pStyle w:val="BodyText"/>
      </w:pPr>
      <w:r>
        <w:rPr>
          <w:bCs/>
          <w:b/>
        </w:rPr>
        <w:t xml:space="preserve">Osaka Municipal Representative:</w:t>
      </w:r>
    </w:p>
    <w:p>
      <w:pPr>
        <w:pStyle w:val="BodyText"/>
      </w:pPr>
      <w:r>
        <w:t xml:space="preserve">__________________________</w:t>
      </w:r>
    </w:p>
    <w:p>
      <w:pPr>
        <w:pStyle w:val="BodyText"/>
      </w:pPr>
      <w:r>
        <w:t xml:space="preserve">Yuki Sato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Deployment in Japan Osaka</dc:title>
  <dc:creator/>
  <dc:language>en</dc:language>
  <cp:keywords/>
  <dcterms:created xsi:type="dcterms:W3CDTF">2026-10-10T03:05:53Z</dcterms:created>
  <dcterms:modified xsi:type="dcterms:W3CDTF">2026-10-10T03:05:53Z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