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Kenya</w:t>
      </w:r>
      <w:r>
        <w:t xml:space="preserve"> </w:t>
      </w:r>
      <w:r>
        <w:t xml:space="preserve">Nairobi</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Kenya Nairobi</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methodology, procedures, and ethical considerations for evaluating the performance, usability, and impact of the</w:t>
      </w:r>
      <w:r>
        <w:t xml:space="preserve"> </w:t>
      </w:r>
      <w:r>
        <w:t xml:space="preserve">Architect</w:t>
      </w:r>
      <w:r>
        <w:t xml:space="preserve"> </w:t>
      </w:r>
      <w:r>
        <w:t xml:space="preserve">system within the urban context of</w:t>
      </w:r>
      <w:r>
        <w:t xml:space="preserve"> </w:t>
      </w:r>
      <w:r>
        <w:t xml:space="preserve">Kenya Nairobi</w:t>
      </w:r>
      <w:r>
        <w:t xml:space="preserve">. The primary objective is to assess how Architect can support urban planning, infrastructure development, and community engagement in Nairobi’s dynamic environment.</w:t>
      </w:r>
    </w:p>
    <w:p>
      <w:pPr>
        <w:pStyle w:val="BodyText"/>
      </w:pPr>
      <w:r>
        <w:t xml:space="preserve">Nairobi, as a rapidly growing metropolitan area, presents unique challenges and opportunities for technological innovation. This protocol ensures that the experiment is conducted systematically, ethically, and with full consideration of local conditions, stakeholders, and regulatory frameworks.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technical performance of Architect in Nairobi’s infrastructure and connectivity conditions.</w:t>
      </w:r>
    </w:p>
    <w:p>
      <w:pPr>
        <w:numPr>
          <w:ilvl w:val="0"/>
          <w:numId w:val="1001"/>
        </w:numPr>
        <w:pStyle w:val="Compact"/>
      </w:pPr>
      <w:r>
        <w:t xml:space="preserve">To assess user acceptance and usability among Nairobi-based professionals, including architects, urban planners, and municipal officials.</w:t>
      </w:r>
    </w:p>
    <w:p>
      <w:pPr>
        <w:numPr>
          <w:ilvl w:val="0"/>
          <w:numId w:val="1001"/>
        </w:numPr>
        <w:pStyle w:val="Compact"/>
      </w:pPr>
      <w:r>
        <w:t xml:space="preserve">To determine Architect’s potential to improve decision-making processes in urban development projects.</w:t>
      </w:r>
    </w:p>
    <w:p>
      <w:pPr>
        <w:numPr>
          <w:ilvl w:val="0"/>
          <w:numId w:val="1001"/>
        </w:numPr>
        <w:pStyle w:val="Compact"/>
      </w:pPr>
      <w:r>
        <w:t xml:space="preserve">To identify any cultural, linguistic, or regulatory adaptations required for effective deployment in Kenya.</w:t>
      </w:r>
    </w:p>
    <w:p>
      <w:pPr>
        <w:numPr>
          <w:ilvl w:val="0"/>
          <w:numId w:val="1001"/>
        </w:numPr>
        <w:pStyle w:val="Compact"/>
      </w:pPr>
      <w:r>
        <w:t xml:space="preserve">To measure the impact of Architect on collaboration between stakeholders in Nairobi’s built environment sector.</w:t>
      </w:r>
    </w:p>
    <w:bookmarkEnd w:id="22"/>
    <w:bookmarkStart w:id="23" w:name="scope"/>
    <w:p>
      <w:pPr>
        <w:pStyle w:val="Heading2"/>
      </w:pPr>
      <w:r>
        <w:t xml:space="preserve">3. Scope</w:t>
      </w:r>
    </w:p>
    <w:p>
      <w:pPr>
        <w:pStyle w:val="FirstParagraph"/>
      </w:pPr>
      <w:r>
        <w:t xml:space="preserve">This experiment will be conducted exclusively within Nairobi, Kenya. It will involve selected pilot sites, including both formal and informal settlements, to capture a representative range of urban conditions. The experiment will focus on Architect’s core functionalities, including data integration, visualization, simulation, and stakeholder collaboration tools.</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The experiment will use a mixed-methods approach, combining quantitative performance metrics with qualitative user feedback. A controlled pilot will be implemented over a period of six months, with baseline data collected prior to deployment.</w:t>
      </w:r>
    </w:p>
    <w:bookmarkEnd w:id="24"/>
    <w:bookmarkStart w:id="25" w:name="participants"/>
    <w:p>
      <w:pPr>
        <w:pStyle w:val="Heading3"/>
      </w:pPr>
      <w:r>
        <w:t xml:space="preserve">4.2 Participants</w:t>
      </w:r>
    </w:p>
    <w:p>
      <w:pPr>
        <w:pStyle w:val="FirstParagraph"/>
      </w:pPr>
      <w:r>
        <w:t xml:space="preserve">Participants will include:</w:t>
      </w:r>
    </w:p>
    <w:p>
      <w:pPr>
        <w:numPr>
          <w:ilvl w:val="0"/>
          <w:numId w:val="1002"/>
        </w:numPr>
        <w:pStyle w:val="Compact"/>
      </w:pPr>
      <w:r>
        <w:t xml:space="preserve">Urban planners and architects from Nairobi-based firms and institutions.</w:t>
      </w:r>
    </w:p>
    <w:p>
      <w:pPr>
        <w:numPr>
          <w:ilvl w:val="0"/>
          <w:numId w:val="1002"/>
        </w:numPr>
        <w:pStyle w:val="Compact"/>
      </w:pPr>
      <w:r>
        <w:t xml:space="preserve">Representatives from the Nairobi City County Government.</w:t>
      </w:r>
    </w:p>
    <w:p>
      <w:pPr>
        <w:numPr>
          <w:ilvl w:val="0"/>
          <w:numId w:val="1002"/>
        </w:numPr>
        <w:pStyle w:val="Compact"/>
      </w:pPr>
      <w:r>
        <w:t xml:space="preserve">Community leaders and residents from selected neighborhoods.</w:t>
      </w:r>
    </w:p>
    <w:p>
      <w:pPr>
        <w:numPr>
          <w:ilvl w:val="0"/>
          <w:numId w:val="1002"/>
        </w:numPr>
        <w:pStyle w:val="Compact"/>
      </w:pPr>
      <w:r>
        <w:t xml:space="preserve">Technical staff responsible for system deployment and support.</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3"/>
        </w:numPr>
        <w:pStyle w:val="Compact"/>
      </w:pPr>
      <w:r>
        <w:t xml:space="preserve">System logs and performance metrics (e.g., response time, uptime, data accuracy).</w:t>
      </w:r>
    </w:p>
    <w:p>
      <w:pPr>
        <w:numPr>
          <w:ilvl w:val="0"/>
          <w:numId w:val="1003"/>
        </w:numPr>
        <w:pStyle w:val="Compact"/>
      </w:pPr>
      <w:r>
        <w:t xml:space="preserve">Structured surveys and interviews with users.</w:t>
      </w:r>
    </w:p>
    <w:p>
      <w:pPr>
        <w:numPr>
          <w:ilvl w:val="0"/>
          <w:numId w:val="1003"/>
        </w:numPr>
        <w:pStyle w:val="Compact"/>
      </w:pPr>
      <w:r>
        <w:t xml:space="preserve">Focus group discussions with community stakeholders.</w:t>
      </w:r>
    </w:p>
    <w:p>
      <w:pPr>
        <w:numPr>
          <w:ilvl w:val="0"/>
          <w:numId w:val="1003"/>
        </w:numPr>
        <w:pStyle w:val="Compact"/>
      </w:pPr>
      <w:r>
        <w:t xml:space="preserve">Observational studies of workflow integration.</w:t>
      </w:r>
    </w:p>
    <w:bookmarkEnd w:id="26"/>
    <w:bookmarkStart w:id="27" w:name="implementation-phases"/>
    <w:p>
      <w:pPr>
        <w:pStyle w:val="Heading3"/>
      </w:pPr>
      <w:r>
        <w:t xml:space="preserve">4.4 Implementation Phases</w:t>
      </w:r>
    </w:p>
    <w:p>
      <w:pPr>
        <w:numPr>
          <w:ilvl w:val="0"/>
          <w:numId w:val="1004"/>
        </w:numPr>
        <w:pStyle w:val="Compact"/>
      </w:pPr>
      <w:r>
        <w:rPr>
          <w:bCs/>
          <w:b/>
        </w:rPr>
        <w:t xml:space="preserve">Preparation Phase:</w:t>
      </w:r>
      <w:r>
        <w:t xml:space="preserve"> </w:t>
      </w:r>
      <w:r>
        <w:t xml:space="preserve">Stakeholder engagement, site selection, and system configuration.</w:t>
      </w:r>
    </w:p>
    <w:p>
      <w:pPr>
        <w:numPr>
          <w:ilvl w:val="0"/>
          <w:numId w:val="1004"/>
        </w:numPr>
        <w:pStyle w:val="Compact"/>
      </w:pPr>
      <w:r>
        <w:rPr>
          <w:bCs/>
          <w:b/>
        </w:rPr>
        <w:t xml:space="preserve">Deployment Phase:</w:t>
      </w:r>
      <w:r>
        <w:t xml:space="preserve"> </w:t>
      </w:r>
      <w:r>
        <w:t xml:space="preserve">Installation, training, and initial use of Architect.</w:t>
      </w:r>
    </w:p>
    <w:p>
      <w:pPr>
        <w:numPr>
          <w:ilvl w:val="0"/>
          <w:numId w:val="1004"/>
        </w:numPr>
        <w:pStyle w:val="Compact"/>
      </w:pPr>
      <w:r>
        <w:rPr>
          <w:bCs/>
          <w:b/>
        </w:rPr>
        <w:t xml:space="preserve">Monitoring Phase:</w:t>
      </w:r>
      <w:r>
        <w:t xml:space="preserve"> </w:t>
      </w:r>
      <w:r>
        <w:t xml:space="preserve">Ongoing data collection and performance tracking.</w:t>
      </w:r>
    </w:p>
    <w:p>
      <w:pPr>
        <w:numPr>
          <w:ilvl w:val="0"/>
          <w:numId w:val="1004"/>
        </w:numPr>
        <w:pStyle w:val="Compact"/>
      </w:pPr>
      <w:r>
        <w:rPr>
          <w:bCs/>
          <w:b/>
        </w:rPr>
        <w:t xml:space="preserve">Evaluation Phase:</w:t>
      </w:r>
      <w:r>
        <w:t xml:space="preserve"> </w:t>
      </w:r>
      <w:r>
        <w:t xml:space="preserve">Analysis of results and stakeholder feedback.</w:t>
      </w:r>
    </w:p>
    <w:bookmarkEnd w:id="27"/>
    <w:bookmarkEnd w:id="28"/>
    <w:bookmarkStart w:id="29" w:name="ethical-considerations"/>
    <w:p>
      <w:pPr>
        <w:pStyle w:val="Heading2"/>
      </w:pPr>
      <w:r>
        <w:t xml:space="preserve">5. Ethical Considerations</w:t>
      </w:r>
    </w:p>
    <w:p>
      <w:pPr>
        <w:pStyle w:val="FirstParagraph"/>
      </w:pPr>
      <w:r>
        <w:t xml:space="preserve">This experiment will adhere to the highest ethical standards, including:</w:t>
      </w:r>
    </w:p>
    <w:p>
      <w:pPr>
        <w:numPr>
          <w:ilvl w:val="0"/>
          <w:numId w:val="1005"/>
        </w:numPr>
        <w:pStyle w:val="Compact"/>
      </w:pPr>
      <w:r>
        <w:t xml:space="preserve">Informed consent from all participants.</w:t>
      </w:r>
    </w:p>
    <w:p>
      <w:pPr>
        <w:numPr>
          <w:ilvl w:val="0"/>
          <w:numId w:val="1005"/>
        </w:numPr>
        <w:pStyle w:val="Compact"/>
      </w:pPr>
      <w:r>
        <w:t xml:space="preserve">Confidentiality and secure handling of personal and sensitive data.</w:t>
      </w:r>
    </w:p>
    <w:p>
      <w:pPr>
        <w:numPr>
          <w:ilvl w:val="0"/>
          <w:numId w:val="1005"/>
        </w:numPr>
        <w:pStyle w:val="Compact"/>
      </w:pPr>
      <w:r>
        <w:t xml:space="preserve">Compliance with Kenyan data protection laws and regulations.</w:t>
      </w:r>
    </w:p>
    <w:p>
      <w:pPr>
        <w:numPr>
          <w:ilvl w:val="0"/>
          <w:numId w:val="1005"/>
        </w:numPr>
        <w:pStyle w:val="Compact"/>
      </w:pPr>
      <w:r>
        <w:t xml:space="preserve">Respect for local cultural norms and community values.</w:t>
      </w:r>
    </w:p>
    <w:p>
      <w:pPr>
        <w:numPr>
          <w:ilvl w:val="0"/>
          <w:numId w:val="1005"/>
        </w:numPr>
        <w:pStyle w:val="Compact"/>
      </w:pPr>
      <w:r>
        <w:t xml:space="preserve">Equitable inclusion of diverse stakeholder groups, including marginalized communities.</w:t>
      </w:r>
    </w:p>
    <w:bookmarkEnd w:id="29"/>
    <w:bookmarkStart w:id="30" w:name="risk-management"/>
    <w:p>
      <w:pPr>
        <w:pStyle w:val="Heading2"/>
      </w:pPr>
      <w:r>
        <w:t xml:space="preserve">6. Risk Management</w:t>
      </w:r>
    </w:p>
    <w:p>
      <w:pPr>
        <w:pStyle w:val="FirstParagraph"/>
      </w:pPr>
      <w:r>
        <w:t xml:space="preserve">Potential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Technical failures or connectivity issues</w:t>
            </w:r>
          </w:p>
        </w:tc>
        <w:tc>
          <w:tcPr/>
          <w:p>
            <w:pPr>
              <w:pStyle w:val="Compact"/>
              <w:jc w:val="left"/>
            </w:pPr>
            <w:r>
              <w:t xml:space="preserve">Redundant systems and offline capabilities</w:t>
            </w:r>
          </w:p>
        </w:tc>
      </w:tr>
      <w:tr>
        <w:tc>
          <w:tcPr/>
          <w:p>
            <w:pPr>
              <w:pStyle w:val="Compact"/>
              <w:jc w:val="left"/>
            </w:pPr>
            <w:r>
              <w:t xml:space="preserve">User resistance or low adoption</w:t>
            </w:r>
          </w:p>
        </w:tc>
        <w:tc>
          <w:tcPr/>
          <w:p>
            <w:pPr>
              <w:pStyle w:val="Compact"/>
              <w:jc w:val="left"/>
            </w:pPr>
            <w:r>
              <w:t xml:space="preserve">Comprehensive training and stakeholder engagement</w:t>
            </w:r>
          </w:p>
        </w:tc>
      </w:tr>
      <w:tr>
        <w:tc>
          <w:tcPr/>
          <w:p>
            <w:pPr>
              <w:pStyle w:val="Compact"/>
              <w:jc w:val="left"/>
            </w:pPr>
            <w:r>
              <w:t xml:space="preserve">Data privacy breaches</w:t>
            </w:r>
          </w:p>
        </w:tc>
        <w:tc>
          <w:tcPr/>
          <w:p>
            <w:pPr>
              <w:pStyle w:val="Compact"/>
              <w:jc w:val="left"/>
            </w:pPr>
            <w:r>
              <w:t xml:space="preserve">Encryption, access controls, and regular audits</w:t>
            </w:r>
          </w:p>
        </w:tc>
      </w:tr>
      <w:tr>
        <w:tc>
          <w:tcPr/>
          <w:p>
            <w:pPr>
              <w:pStyle w:val="Compact"/>
              <w:jc w:val="left"/>
            </w:pPr>
            <w:r>
              <w:t xml:space="preserve">Regulatory non-compliance</w:t>
            </w:r>
          </w:p>
        </w:tc>
        <w:tc>
          <w:tcPr/>
          <w:p>
            <w:pPr>
              <w:pStyle w:val="Compact"/>
              <w:jc w:val="left"/>
            </w:pPr>
            <w:r>
              <w:t xml:space="preserve">Legal review and collaboration with local authorities</w:t>
            </w:r>
          </w:p>
        </w:tc>
      </w:tr>
    </w:tbl>
    <w:bookmarkEnd w:id="30"/>
    <w:bookmarkStart w:id="31" w:name="expected-outcomes"/>
    <w:p>
      <w:pPr>
        <w:pStyle w:val="Heading2"/>
      </w:pPr>
      <w:r>
        <w:t xml:space="preserve">7. Expected Outcomes</w:t>
      </w:r>
    </w:p>
    <w:p>
      <w:pPr>
        <w:pStyle w:val="FirstParagraph"/>
      </w:pPr>
      <w:r>
        <w:t xml:space="preserve">The experiment aims to produce:</w:t>
      </w:r>
    </w:p>
    <w:p>
      <w:pPr>
        <w:numPr>
          <w:ilvl w:val="0"/>
          <w:numId w:val="1006"/>
        </w:numPr>
        <w:pStyle w:val="Compact"/>
      </w:pPr>
      <w:r>
        <w:t xml:space="preserve">A detailed assessment of Architect’s suitability for Nairobi’s urban context.</w:t>
      </w:r>
    </w:p>
    <w:p>
      <w:pPr>
        <w:numPr>
          <w:ilvl w:val="0"/>
          <w:numId w:val="1006"/>
        </w:numPr>
        <w:pStyle w:val="Compact"/>
      </w:pPr>
      <w:r>
        <w:t xml:space="preserve">Recommendations for system improvements and localization.</w:t>
      </w:r>
    </w:p>
    <w:p>
      <w:pPr>
        <w:numPr>
          <w:ilvl w:val="0"/>
          <w:numId w:val="1006"/>
        </w:numPr>
        <w:pStyle w:val="Compact"/>
      </w:pPr>
      <w:r>
        <w:t xml:space="preserve">Best practices for deploying similar technologies in Kenya and comparable regions.</w:t>
      </w:r>
    </w:p>
    <w:p>
      <w:pPr>
        <w:numPr>
          <w:ilvl w:val="0"/>
          <w:numId w:val="1006"/>
        </w:numPr>
        <w:pStyle w:val="Compact"/>
      </w:pPr>
      <w:r>
        <w:t xml:space="preserve">Enhanced capacity among local professionals and institutions.</w:t>
      </w:r>
    </w:p>
    <w:bookmarkEnd w:id="31"/>
    <w:bookmarkStart w:id="32" w:name="conclusion"/>
    <w:p>
      <w:pPr>
        <w:pStyle w:val="Heading2"/>
      </w:pPr>
      <w:r>
        <w:t xml:space="preserve">8. Conclusion</w:t>
      </w:r>
    </w:p>
    <w:p>
      <w:pPr>
        <w:pStyle w:val="FirstParagraph"/>
      </w:pPr>
      <w:r>
        <w:t xml:space="preserve">This Experiment Protocol provides a structured framework for evaluating Architect in Kenya Nairobi. By following these guidelines, the experiment will ensure rigorous, ethical, and context-sensitive assessment, contributing to the advancement of urban planning and development in Nairobi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Kenya Nairobi</dc:title>
  <dc:creator/>
  <dc:language>en</dc:language>
  <cp:keywords/>
  <dcterms:created xsi:type="dcterms:W3CDTF">2026-10-10T02:09:32Z</dcterms:created>
  <dcterms:modified xsi:type="dcterms:W3CDTF">2026-10-10T02:09:32Z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