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Myanmar</w:t>
      </w:r>
      <w:r>
        <w:t xml:space="preserve"> </w:t>
      </w:r>
      <w:r>
        <w:t xml:space="preserve">Yangon</w:t>
      </w:r>
    </w:p>
    <w:bookmarkStart w:id="32" w:name="X7adb0cebef09d964da0c38ae0e86b4747c15d03"/>
    <w:p>
      <w:pPr>
        <w:pStyle w:val="Heading1"/>
      </w:pPr>
      <w:r>
        <w:t xml:space="preserve">Experiment Protocol: Architect in Myanmar Yangon</w:t>
      </w:r>
    </w:p>
    <w:bookmarkStart w:id="20" w:name="introduction"/>
    <w:p>
      <w:pPr>
        <w:pStyle w:val="Heading2"/>
      </w:pPr>
      <w:r>
        <w:t xml:space="preserve">1. Introduction</w:t>
      </w:r>
    </w:p>
    <w:p>
      <w:pPr>
        <w:pStyle w:val="FirstParagraph"/>
      </w:pPr>
      <w:r>
        <w:t xml:space="preserve">This Experiment Protocol outlines the procedures, objectives, and methodologies for evaluating the performance, usability, and impact of the</w:t>
      </w:r>
      <w:r>
        <w:t xml:space="preserve"> </w:t>
      </w:r>
      <w:r>
        <w:rPr>
          <w:bCs/>
          <w:b/>
        </w:rPr>
        <w:t xml:space="preserve">Architect</w:t>
      </w:r>
      <w:r>
        <w:t xml:space="preserve"> </w:t>
      </w:r>
      <w:r>
        <w:t xml:space="preserve">system within the urban environment of</w:t>
      </w:r>
      <w:r>
        <w:t xml:space="preserve"> </w:t>
      </w:r>
      <w:r>
        <w:rPr>
          <w:bCs/>
          <w:b/>
        </w:rPr>
        <w:t xml:space="preserve">Myanmar Yangon</w:t>
      </w:r>
      <w:r>
        <w:t xml:space="preserve">. The Architect is a conceptual framework or tool designed to assist in urban planning, infrastructure development, or architectural design optimization. This protocol ensures that the experiment is conducted systematically, ethically, and in alignment with local conditions in Yangon, Myanmar.</w:t>
      </w:r>
    </w:p>
    <w:p>
      <w:pPr>
        <w:pStyle w:val="BodyText"/>
      </w:pPr>
      <w:r>
        <w:t xml:space="preserve">The unique socio-economic, cultural, and environmental context of Yangon necessitates a tailored approach. Factors such as rapid urbanization, monsoon climate, mixed-use land patterns, and diverse stakeholder interests must be considered when deploying and assessing the Architect system.</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the Architect system in supporting urban planning and design decisions in Yangon.</w:t>
      </w:r>
    </w:p>
    <w:p>
      <w:pPr>
        <w:numPr>
          <w:ilvl w:val="0"/>
          <w:numId w:val="1001"/>
        </w:numPr>
        <w:pStyle w:val="Compact"/>
      </w:pPr>
      <w:r>
        <w:t xml:space="preserve">To assess user acceptance and usability among local architects, planners, government officials, and community stakeholders.</w:t>
      </w:r>
    </w:p>
    <w:p>
      <w:pPr>
        <w:numPr>
          <w:ilvl w:val="0"/>
          <w:numId w:val="1001"/>
        </w:numPr>
        <w:pStyle w:val="Compact"/>
      </w:pPr>
      <w:r>
        <w:t xml:space="preserve">To identify technical, logistical, and cultural challenges in implementing the Architect system in Myanmar’s urban context.</w:t>
      </w:r>
    </w:p>
    <w:p>
      <w:pPr>
        <w:numPr>
          <w:ilvl w:val="0"/>
          <w:numId w:val="1001"/>
        </w:numPr>
        <w:pStyle w:val="Compact"/>
      </w:pPr>
      <w:r>
        <w:t xml:space="preserve">To measure the impact of the Architect system on project efficiency, sustainability, and community engagement.</w:t>
      </w:r>
    </w:p>
    <w:bookmarkEnd w:id="21"/>
    <w:bookmarkStart w:id="22" w:name="scope-and-context"/>
    <w:p>
      <w:pPr>
        <w:pStyle w:val="Heading2"/>
      </w:pPr>
      <w:r>
        <w:t xml:space="preserve">3. Scope and Context</w:t>
      </w:r>
    </w:p>
    <w:p>
      <w:pPr>
        <w:pStyle w:val="FirstParagraph"/>
      </w:pPr>
      <w:r>
        <w:t xml:space="preserve">The experiment will be conducted in selected districts of Yangon, Myanmar, focusing on areas undergoing significant development or redevelopment. The Architect system will be tested in real-world scenarios involving residential, commercial, and public infrastructure projects.</w:t>
      </w:r>
    </w:p>
    <w:p>
      <w:pPr>
        <w:pStyle w:val="BodyText"/>
      </w:pPr>
      <w:r>
        <w:t xml:space="preserve">Key contextual factors include:</w:t>
      </w:r>
    </w:p>
    <w:p>
      <w:pPr>
        <w:numPr>
          <w:ilvl w:val="0"/>
          <w:numId w:val="1002"/>
        </w:numPr>
        <w:pStyle w:val="Compact"/>
      </w:pPr>
      <w:r>
        <w:t xml:space="preserve">High population density and informal settlements.</w:t>
      </w:r>
    </w:p>
    <w:p>
      <w:pPr>
        <w:numPr>
          <w:ilvl w:val="0"/>
          <w:numId w:val="1002"/>
        </w:numPr>
        <w:pStyle w:val="Compact"/>
      </w:pPr>
      <w:r>
        <w:t xml:space="preserve">Seasonal flooding and climate resilience needs.</w:t>
      </w:r>
    </w:p>
    <w:p>
      <w:pPr>
        <w:numPr>
          <w:ilvl w:val="0"/>
          <w:numId w:val="1002"/>
        </w:numPr>
        <w:pStyle w:val="Compact"/>
      </w:pPr>
      <w:r>
        <w:t xml:space="preserve">Regulatory frameworks and permitting processes in Myanmar.</w:t>
      </w:r>
    </w:p>
    <w:p>
      <w:pPr>
        <w:numPr>
          <w:ilvl w:val="0"/>
          <w:numId w:val="1002"/>
        </w:numPr>
        <w:pStyle w:val="Compact"/>
      </w:pPr>
      <w:r>
        <w:t xml:space="preserve">Availability of digital infrastructure and technical expertise.</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The experiment will employ a mixed-methods approach, combining quantitative metrics with qualitative feedback. A controlled pilot will be conducted over a period of six months, involving multiple stakeholder groups.</w:t>
      </w:r>
    </w:p>
    <w:bookmarkEnd w:id="23"/>
    <w:bookmarkStart w:id="24" w:name="participants"/>
    <w:p>
      <w:pPr>
        <w:pStyle w:val="Heading3"/>
      </w:pPr>
      <w:r>
        <w:t xml:space="preserve">4.2 Participants</w:t>
      </w:r>
    </w:p>
    <w:p>
      <w:pPr>
        <w:pStyle w:val="FirstParagraph"/>
      </w:pPr>
      <w:r>
        <w:t xml:space="preserve">Participants will include:</w:t>
      </w:r>
    </w:p>
    <w:p>
      <w:pPr>
        <w:numPr>
          <w:ilvl w:val="0"/>
          <w:numId w:val="1003"/>
        </w:numPr>
        <w:pStyle w:val="Compact"/>
      </w:pPr>
      <w:r>
        <w:t xml:space="preserve">Local architects and engineering firms.</w:t>
      </w:r>
    </w:p>
    <w:p>
      <w:pPr>
        <w:numPr>
          <w:ilvl w:val="0"/>
          <w:numId w:val="1003"/>
        </w:numPr>
        <w:pStyle w:val="Compact"/>
      </w:pPr>
      <w:r>
        <w:t xml:space="preserve">Urban planners from Yangon City Development Committee.</w:t>
      </w:r>
    </w:p>
    <w:p>
      <w:pPr>
        <w:numPr>
          <w:ilvl w:val="0"/>
          <w:numId w:val="1003"/>
        </w:numPr>
        <w:pStyle w:val="Compact"/>
      </w:pPr>
      <w:r>
        <w:t xml:space="preserve">Community representatives from selected neighborhoods.</w:t>
      </w:r>
    </w:p>
    <w:p>
      <w:pPr>
        <w:numPr>
          <w:ilvl w:val="0"/>
          <w:numId w:val="1003"/>
        </w:numPr>
        <w:pStyle w:val="Compact"/>
      </w:pPr>
      <w:r>
        <w:t xml:space="preserve">Government officials responsible for urban development and zoning.</w:t>
      </w:r>
    </w:p>
    <w:bookmarkEnd w:id="24"/>
    <w:bookmarkStart w:id="25" w:name="procedures"/>
    <w:p>
      <w:pPr>
        <w:pStyle w:val="Heading3"/>
      </w:pPr>
      <w:r>
        <w:t xml:space="preserve">4.3 Procedures</w:t>
      </w:r>
    </w:p>
    <w:p>
      <w:pPr>
        <w:numPr>
          <w:ilvl w:val="0"/>
          <w:numId w:val="1004"/>
        </w:numPr>
        <w:pStyle w:val="Compact"/>
      </w:pPr>
      <w:r>
        <w:rPr>
          <w:bCs/>
          <w:b/>
        </w:rPr>
        <w:t xml:space="preserve">Preparation Phase:</w:t>
      </w:r>
      <w:r>
        <w:t xml:space="preserve"> </w:t>
      </w:r>
      <w:r>
        <w:t xml:space="preserve">Install and configure the Architect system in selected offices and project sites. Provide training sessions for all participants.</w:t>
      </w:r>
    </w:p>
    <w:p>
      <w:pPr>
        <w:numPr>
          <w:ilvl w:val="0"/>
          <w:numId w:val="1004"/>
        </w:numPr>
        <w:pStyle w:val="Compact"/>
      </w:pPr>
      <w:r>
        <w:rPr>
          <w:bCs/>
          <w:b/>
        </w:rPr>
        <w:t xml:space="preserve">Implementation Phase:</w:t>
      </w:r>
      <w:r>
        <w:t xml:space="preserve"> </w:t>
      </w:r>
      <w:r>
        <w:t xml:space="preserve">Integrate the Architect system into ongoing planning and design workflows. Monitor usage patterns, decision-making processes, and project outcomes.</w:t>
      </w:r>
    </w:p>
    <w:p>
      <w:pPr>
        <w:numPr>
          <w:ilvl w:val="0"/>
          <w:numId w:val="1004"/>
        </w:numPr>
        <w:pStyle w:val="Compact"/>
      </w:pPr>
      <w:r>
        <w:rPr>
          <w:bCs/>
          <w:b/>
        </w:rPr>
        <w:t xml:space="preserve">Data Collection:</w:t>
      </w:r>
      <w:r>
        <w:t xml:space="preserve"> </w:t>
      </w:r>
      <w:r>
        <w:t xml:space="preserve">Gather quantitative data (e.g., time savings, error rates, resource optimization) and qualitative data (e.g., user interviews, focus groups, surveys).</w:t>
      </w:r>
    </w:p>
    <w:p>
      <w:pPr>
        <w:numPr>
          <w:ilvl w:val="0"/>
          <w:numId w:val="1004"/>
        </w:numPr>
        <w:pStyle w:val="Compact"/>
      </w:pPr>
      <w:r>
        <w:rPr>
          <w:bCs/>
          <w:b/>
        </w:rPr>
        <w:t xml:space="preserve">Analysis Phase:</w:t>
      </w:r>
      <w:r>
        <w:t xml:space="preserve"> </w:t>
      </w:r>
      <w:r>
        <w:t xml:space="preserve">Analyze data to assess performance, usability, and impact. Compare results against baseline metrics and control groups where applicable.</w:t>
      </w:r>
    </w:p>
    <w:p>
      <w:pPr>
        <w:numPr>
          <w:ilvl w:val="0"/>
          <w:numId w:val="1004"/>
        </w:numPr>
        <w:pStyle w:val="Compact"/>
      </w:pPr>
      <w:r>
        <w:rPr>
          <w:bCs/>
          <w:b/>
        </w:rPr>
        <w:t xml:space="preserve">Reporting Phase:</w:t>
      </w:r>
      <w:r>
        <w:t xml:space="preserve"> </w:t>
      </w:r>
      <w:r>
        <w:t xml:space="preserve">Compile findings into a comprehensive report with recommendations for scaling, adaptation, or refinement of the Architect system in Yangon and similar contexts.</w:t>
      </w:r>
    </w:p>
    <w:bookmarkEnd w:id="25"/>
    <w:bookmarkEnd w:id="26"/>
    <w:bookmarkStart w:id="27" w:name="data-collection-and-metrics"/>
    <w:p>
      <w:pPr>
        <w:pStyle w:val="Heading2"/>
      </w:pPr>
      <w:r>
        <w:t xml:space="preserve">5. Data Collection and Metrics</w:t>
      </w:r>
    </w:p>
    <w:p>
      <w:pPr>
        <w:pStyle w:val="FirstParagraph"/>
      </w:pPr>
      <w:r>
        <w:t xml:space="preserve">Data will be collected using the following methods and metrics: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Method</w:t>
            </w:r>
          </w:p>
        </w:tc>
        <w:tc>
          <w:tcPr/>
          <w:p>
            <w:pPr>
              <w:pStyle w:val="Compact"/>
              <w:jc w:val="left"/>
            </w:pPr>
            <w:r>
              <w:t xml:space="preserve">Metrics</w:t>
            </w:r>
          </w:p>
        </w:tc>
      </w:tr>
      <w:tr>
        <w:tc>
          <w:tcPr/>
          <w:p>
            <w:pPr>
              <w:pStyle w:val="Compact"/>
              <w:jc w:val="left"/>
            </w:pPr>
            <w:r>
              <w:t xml:space="preserve">System Logs</w:t>
            </w:r>
          </w:p>
        </w:tc>
        <w:tc>
          <w:tcPr/>
          <w:p>
            <w:pPr>
              <w:pStyle w:val="Compact"/>
              <w:jc w:val="left"/>
            </w:pPr>
            <w:r>
              <w:t xml:space="preserve">Usage frequency, feature adoption, error rates</w:t>
            </w:r>
          </w:p>
        </w:tc>
      </w:tr>
      <w:tr>
        <w:tc>
          <w:tcPr/>
          <w:p>
            <w:pPr>
              <w:pStyle w:val="Compact"/>
              <w:jc w:val="left"/>
            </w:pPr>
            <w:r>
              <w:t xml:space="preserve">Surveys</w:t>
            </w:r>
          </w:p>
        </w:tc>
        <w:tc>
          <w:tcPr/>
          <w:p>
            <w:pPr>
              <w:pStyle w:val="Compact"/>
              <w:jc w:val="left"/>
            </w:pPr>
            <w:r>
              <w:t xml:space="preserve">User satisfaction, perceived usefulness, ease of use</w:t>
            </w:r>
          </w:p>
        </w:tc>
      </w:tr>
      <w:tr>
        <w:tc>
          <w:tcPr/>
          <w:p>
            <w:pPr>
              <w:pStyle w:val="Compact"/>
              <w:jc w:val="left"/>
            </w:pPr>
            <w:r>
              <w:t xml:space="preserve">Interviews</w:t>
            </w:r>
          </w:p>
        </w:tc>
        <w:tc>
          <w:tcPr/>
          <w:p>
            <w:pPr>
              <w:pStyle w:val="Compact"/>
              <w:jc w:val="left"/>
            </w:pPr>
            <w:r>
              <w:t xml:space="preserve">Qualitative insights on challenges, benefits, cultural fit</w:t>
            </w:r>
          </w:p>
        </w:tc>
      </w:tr>
      <w:tr>
        <w:tc>
          <w:tcPr/>
          <w:p>
            <w:pPr>
              <w:pStyle w:val="Compact"/>
              <w:jc w:val="left"/>
            </w:pPr>
            <w:r>
              <w:t xml:space="preserve">Project Records</w:t>
            </w:r>
          </w:p>
        </w:tc>
        <w:tc>
          <w:tcPr/>
          <w:p>
            <w:pPr>
              <w:pStyle w:val="Compact"/>
              <w:jc w:val="left"/>
            </w:pPr>
            <w:r>
              <w:t xml:space="preserve">Design iteration time, cost efficiency, compliance rates</w:t>
            </w:r>
          </w:p>
        </w:tc>
      </w:tr>
      <w:tr>
        <w:tc>
          <w:tcPr/>
          <w:p>
            <w:pPr>
              <w:pStyle w:val="Compact"/>
              <w:jc w:val="left"/>
            </w:pPr>
            <w:r>
              <w:t xml:space="preserve">Community Feedback</w:t>
            </w:r>
          </w:p>
        </w:tc>
        <w:tc>
          <w:tcPr/>
          <w:p>
            <w:pPr>
              <w:pStyle w:val="Compact"/>
              <w:jc w:val="left"/>
            </w:pPr>
            <w:r>
              <w:t xml:space="preserve">Perceived impact on livability, inclusivity, transparency</w:t>
            </w:r>
          </w:p>
        </w:tc>
      </w:tr>
    </w:tbl>
    <w:bookmarkEnd w:id="27"/>
    <w:bookmarkStart w:id="28" w:name="ethical-considerations"/>
    <w:p>
      <w:pPr>
        <w:pStyle w:val="Heading2"/>
      </w:pPr>
      <w:r>
        <w:t xml:space="preserve">6. Ethical Considerations</w:t>
      </w:r>
    </w:p>
    <w:p>
      <w:pPr>
        <w:pStyle w:val="FirstParagraph"/>
      </w:pPr>
      <w:r>
        <w:t xml:space="preserve">The experiment will adhere to ethical standards, including:</w:t>
      </w:r>
    </w:p>
    <w:p>
      <w:pPr>
        <w:numPr>
          <w:ilvl w:val="0"/>
          <w:numId w:val="1005"/>
        </w:numPr>
        <w:pStyle w:val="Compact"/>
      </w:pPr>
      <w:r>
        <w:t xml:space="preserve">Informed consent from all participants.</w:t>
      </w:r>
    </w:p>
    <w:p>
      <w:pPr>
        <w:numPr>
          <w:ilvl w:val="0"/>
          <w:numId w:val="1005"/>
        </w:numPr>
        <w:pStyle w:val="Compact"/>
      </w:pPr>
      <w:r>
        <w:t xml:space="preserve">Confidentiality and data protection in line with Myanmar’s regulations.</w:t>
      </w:r>
    </w:p>
    <w:p>
      <w:pPr>
        <w:numPr>
          <w:ilvl w:val="0"/>
          <w:numId w:val="1005"/>
        </w:numPr>
        <w:pStyle w:val="Compact"/>
      </w:pPr>
      <w:r>
        <w:t xml:space="preserve">Respect for local customs, languages, and community norms.</w:t>
      </w:r>
    </w:p>
    <w:p>
      <w:pPr>
        <w:numPr>
          <w:ilvl w:val="0"/>
          <w:numId w:val="1005"/>
        </w:numPr>
        <w:pStyle w:val="Compact"/>
      </w:pPr>
      <w:r>
        <w:t xml:space="preserve">Equitable involvement of diverse stakeholder groups.</w:t>
      </w:r>
    </w:p>
    <w:bookmarkEnd w:id="28"/>
    <w:bookmarkStart w:id="29" w:name="risk-management"/>
    <w:p>
      <w:pPr>
        <w:pStyle w:val="Heading2"/>
      </w:pPr>
      <w:r>
        <w:t xml:space="preserve">7. Risk Management</w:t>
      </w:r>
    </w:p>
    <w:p>
      <w:pPr>
        <w:pStyle w:val="FirstParagraph"/>
      </w:pPr>
      <w:r>
        <w:t xml:space="preserve">Potential risks and mitigation strategies include:</w:t>
      </w:r>
    </w:p>
    <w:p>
      <w:pPr>
        <w:numPr>
          <w:ilvl w:val="0"/>
          <w:numId w:val="1006"/>
        </w:numPr>
        <w:pStyle w:val="Compact"/>
      </w:pPr>
      <w:r>
        <w:rPr>
          <w:bCs/>
          <w:b/>
        </w:rPr>
        <w:t xml:space="preserve">Technical Failures:</w:t>
      </w:r>
      <w:r>
        <w:t xml:space="preserve"> </w:t>
      </w:r>
      <w:r>
        <w:t xml:space="preserve">Backup systems and on-site technical support.</w:t>
      </w:r>
    </w:p>
    <w:p>
      <w:pPr>
        <w:numPr>
          <w:ilvl w:val="0"/>
          <w:numId w:val="1006"/>
        </w:numPr>
        <w:pStyle w:val="Compact"/>
      </w:pPr>
      <w:r>
        <w:rPr>
          <w:bCs/>
          <w:b/>
        </w:rPr>
        <w:t xml:space="preserve">User Resistance:</w:t>
      </w:r>
      <w:r>
        <w:t xml:space="preserve"> </w:t>
      </w:r>
      <w:r>
        <w:t xml:space="preserve">Comprehensive training and change management.</w:t>
      </w:r>
    </w:p>
    <w:p>
      <w:pPr>
        <w:numPr>
          <w:ilvl w:val="0"/>
          <w:numId w:val="1006"/>
        </w:numPr>
        <w:pStyle w:val="Compact"/>
      </w:pPr>
      <w:r>
        <w:rPr>
          <w:bCs/>
          <w:b/>
        </w:rPr>
        <w:t xml:space="preserve">Regulatory Changes:</w:t>
      </w:r>
      <w:r>
        <w:t xml:space="preserve"> </w:t>
      </w:r>
      <w:r>
        <w:t xml:space="preserve">Continuous engagement with local authorities.</w:t>
      </w:r>
    </w:p>
    <w:p>
      <w:pPr>
        <w:numPr>
          <w:ilvl w:val="0"/>
          <w:numId w:val="1006"/>
        </w:numPr>
        <w:pStyle w:val="Compact"/>
      </w:pPr>
      <w:r>
        <w:rPr>
          <w:bCs/>
          <w:b/>
        </w:rPr>
        <w:t xml:space="preserve">Environmental Disruptions:</w:t>
      </w:r>
      <w:r>
        <w:t xml:space="preserve"> </w:t>
      </w:r>
      <w:r>
        <w:t xml:space="preserve">Flexible scheduling to account for monsoon season and local events.</w:t>
      </w:r>
    </w:p>
    <w:bookmarkEnd w:id="29"/>
    <w:bookmarkStart w:id="30" w:name="timeline"/>
    <w:p>
      <w:pPr>
        <w:pStyle w:val="Heading2"/>
      </w:pPr>
      <w:r>
        <w:t xml:space="preserve">8. Timeline</w:t>
      </w:r>
    </w:p>
    <w:p>
      <w:pPr>
        <w:numPr>
          <w:ilvl w:val="0"/>
          <w:numId w:val="1007"/>
        </w:numPr>
        <w:pStyle w:val="Compact"/>
      </w:pPr>
      <w:r>
        <w:t xml:space="preserve">Month 1: Preparation and training.</w:t>
      </w:r>
    </w:p>
    <w:p>
      <w:pPr>
        <w:numPr>
          <w:ilvl w:val="0"/>
          <w:numId w:val="1007"/>
        </w:numPr>
        <w:pStyle w:val="Compact"/>
      </w:pPr>
      <w:r>
        <w:t xml:space="preserve">Months 2–5: Implementation and data collection.</w:t>
      </w:r>
    </w:p>
    <w:p>
      <w:pPr>
        <w:numPr>
          <w:ilvl w:val="0"/>
          <w:numId w:val="1007"/>
        </w:numPr>
        <w:pStyle w:val="Compact"/>
      </w:pPr>
      <w:r>
        <w:t xml:space="preserve">Month 6: Analysis, reporting, and stakeholder review.</w:t>
      </w:r>
    </w:p>
    <w:bookmarkEnd w:id="30"/>
    <w:bookmarkStart w:id="31" w:name="conclusion"/>
    <w:p>
      <w:pPr>
        <w:pStyle w:val="Heading2"/>
      </w:pPr>
      <w:r>
        <w:t xml:space="preserve">9. Conclusion</w:t>
      </w:r>
    </w:p>
    <w:p>
      <w:pPr>
        <w:pStyle w:val="FirstParagraph"/>
      </w:pPr>
      <w:r>
        <w:t xml:space="preserve">This Experiment Protocol provides a structured framework for evaluating the Architect system in the dynamic urban environment of Myanmar Yangon. By integrating local context, stakeholder engagement, and rigorous methodology, the experiment aims to generate actionable insights that can inform future urban development initiatives in Yangon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Myanmar Yangon</dc:title>
  <dc:creator/>
  <dc:language>en</dc:language>
  <cp:keywords/>
  <dcterms:created xsi:type="dcterms:W3CDTF">2026-10-10T01:04:13Z</dcterms:created>
  <dcterms:modified xsi:type="dcterms:W3CDTF">2026-10-10T01:04:13Z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