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49b17ec9c1f293d3908775cc5d94954ccfef1b9"/>
    <w:p>
      <w:pPr>
        <w:pStyle w:val="Heading1"/>
      </w:pPr>
      <w:r>
        <w:t xml:space="preserve">Experiment Protocol: Architect in New Zealand Wellington</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adaptability, and impact of the Architect system within the unique environmental, cultural, and infrastructural context of New Zealand Wellington. Wellington, as the capital city of New Zealand, presents a distinctive urban landscape characterized by its compact geography, seismic activity, maritime climate, and progressive sustainability goals. This protocol ensures that the Architect system is rigorously tested and validated under conditions representative of Wellington’s real-world challenges and opportunities.</w:t>
      </w:r>
    </w:p>
    <w:p>
      <w:pPr>
        <w:pStyle w:val="BodyText"/>
      </w:pPr>
      <w:r>
        <w:t xml:space="preserve">The Architect system is designed to support advanced planning, design optimization, and decision-making processes in urban development, infrastructure management, and environmental sustainability. This experiment aims to assess its effectiveness in addressing Wellington-specific requirements, including resilience to natural hazards, integration with local regulatory frameworks, and alignment with community values.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Architect system’s ability to generate contextually appropriate design solutions for Wellington’s urban environment.</w:t>
      </w:r>
    </w:p>
    <w:p>
      <w:pPr>
        <w:numPr>
          <w:ilvl w:val="0"/>
          <w:numId w:val="1001"/>
        </w:numPr>
        <w:pStyle w:val="Compact"/>
      </w:pPr>
      <w:r>
        <w:t xml:space="preserve">To assess the system’s performance in simulating and mitigating risks associated with seismic activity, coastal erosion, and extreme weather events.</w:t>
      </w:r>
    </w:p>
    <w:p>
      <w:pPr>
        <w:numPr>
          <w:ilvl w:val="0"/>
          <w:numId w:val="1001"/>
        </w:numPr>
        <w:pStyle w:val="Compact"/>
      </w:pPr>
      <w:r>
        <w:t xml:space="preserve">To determine the system’s compatibility with New Zealand’s building codes, environmental regulations, and local planning policies.</w:t>
      </w:r>
    </w:p>
    <w:p>
      <w:pPr>
        <w:numPr>
          <w:ilvl w:val="0"/>
          <w:numId w:val="1001"/>
        </w:numPr>
        <w:pStyle w:val="Compact"/>
      </w:pPr>
      <w:r>
        <w:t xml:space="preserve">To gather feedback from stakeholders, including architects, engineers, policymakers, and community representatives, on the usability and relevance of the Architect system.</w:t>
      </w:r>
    </w:p>
    <w:p>
      <w:pPr>
        <w:numPr>
          <w:ilvl w:val="0"/>
          <w:numId w:val="1001"/>
        </w:numPr>
        <w:pStyle w:val="Compact"/>
      </w:pPr>
      <w:r>
        <w:t xml:space="preserve">To identify opportunities for enhancing the system’s capabilities to better serve Wellington’s sustainability and resilience goals.</w:t>
      </w:r>
    </w:p>
    <w:bookmarkEnd w:id="21"/>
    <w:bookmarkStart w:id="22" w:name="scope"/>
    <w:p>
      <w:pPr>
        <w:pStyle w:val="Heading2"/>
      </w:pPr>
      <w:r>
        <w:t xml:space="preserve">3. Scope</w:t>
      </w:r>
    </w:p>
    <w:p>
      <w:pPr>
        <w:pStyle w:val="FirstParagraph"/>
      </w:pPr>
      <w:r>
        <w:t xml:space="preserve">This experiment will focus on the following aspects of the Architect system:</w:t>
      </w:r>
    </w:p>
    <w:p>
      <w:pPr>
        <w:numPr>
          <w:ilvl w:val="0"/>
          <w:numId w:val="1002"/>
        </w:numPr>
        <w:pStyle w:val="Compact"/>
      </w:pPr>
      <w:r>
        <w:t xml:space="preserve">Urban design and planning simulations for Wellington’s central business district and surrounding suburbs.</w:t>
      </w:r>
    </w:p>
    <w:p>
      <w:pPr>
        <w:numPr>
          <w:ilvl w:val="0"/>
          <w:numId w:val="1002"/>
        </w:numPr>
        <w:pStyle w:val="Compact"/>
      </w:pPr>
      <w:r>
        <w:t xml:space="preserve">Structural integrity assessments for buildings and infrastructure under seismic and wind load conditions.</w:t>
      </w:r>
    </w:p>
    <w:p>
      <w:pPr>
        <w:numPr>
          <w:ilvl w:val="0"/>
          <w:numId w:val="1002"/>
        </w:numPr>
        <w:pStyle w:val="Compact"/>
      </w:pPr>
      <w:r>
        <w:t xml:space="preserve">Environmental impact analyses, including carbon footprint calculations and biodiversity considerations.</w:t>
      </w:r>
    </w:p>
    <w:p>
      <w:pPr>
        <w:numPr>
          <w:ilvl w:val="0"/>
          <w:numId w:val="1002"/>
        </w:numPr>
        <w:pStyle w:val="Compact"/>
      </w:pPr>
      <w:r>
        <w:t xml:space="preserve">Integration with local data sources, such as geological surveys, climate models, and demographic information.</w:t>
      </w:r>
    </w:p>
    <w:p>
      <w:pPr>
        <w:pStyle w:val="FirstParagraph"/>
      </w:pPr>
      <w:r>
        <w:t xml:space="preserve">The experiment will exclude non-urban areas of New Zealand and will not address unrelated domains such as healthcare or education infrastructure.</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will be collected from multiple sources to ensure the Architect system is tested against accurate and representative inputs:</w:t>
      </w:r>
    </w:p>
    <w:p>
      <w:pPr>
        <w:numPr>
          <w:ilvl w:val="0"/>
          <w:numId w:val="1003"/>
        </w:numPr>
        <w:pStyle w:val="Compact"/>
      </w:pPr>
      <w:r>
        <w:t xml:space="preserve">Geospatial data from Land Information New Zealand (LINZ).</w:t>
      </w:r>
    </w:p>
    <w:p>
      <w:pPr>
        <w:numPr>
          <w:ilvl w:val="0"/>
          <w:numId w:val="1003"/>
        </w:numPr>
        <w:pStyle w:val="Compact"/>
      </w:pPr>
      <w:r>
        <w:t xml:space="preserve">Seismic hazard maps and historical earthquake data from GeoNet.</w:t>
      </w:r>
    </w:p>
    <w:p>
      <w:pPr>
        <w:numPr>
          <w:ilvl w:val="0"/>
          <w:numId w:val="1003"/>
        </w:numPr>
        <w:pStyle w:val="Compact"/>
      </w:pPr>
      <w:r>
        <w:t xml:space="preserve">Climate data from the National Institute of Water and Atmospheric Research (NIWA).</w:t>
      </w:r>
    </w:p>
    <w:p>
      <w:pPr>
        <w:numPr>
          <w:ilvl w:val="0"/>
          <w:numId w:val="1003"/>
        </w:numPr>
        <w:pStyle w:val="Compact"/>
      </w:pPr>
      <w:r>
        <w:t xml:space="preserve">Local planning documents and zoning regulations from Wellington City Council.</w:t>
      </w:r>
    </w:p>
    <w:bookmarkEnd w:id="23"/>
    <w:bookmarkStart w:id="24" w:name="simulation-scenarios"/>
    <w:p>
      <w:pPr>
        <w:pStyle w:val="Heading3"/>
      </w:pPr>
      <w:r>
        <w:t xml:space="preserve">4.2 Simulation Scenarios</w:t>
      </w:r>
    </w:p>
    <w:p>
      <w:pPr>
        <w:pStyle w:val="FirstParagraph"/>
      </w:pPr>
      <w:r>
        <w:t xml:space="preserve">The Architect system will be subjected to a series of simulation scenarios designed to reflect Wellington’s unique challenges:</w:t>
      </w:r>
    </w:p>
    <w:p>
      <w:pPr>
        <w:numPr>
          <w:ilvl w:val="0"/>
          <w:numId w:val="1004"/>
        </w:numPr>
        <w:pStyle w:val="Compact"/>
      </w:pPr>
      <w:r>
        <w:rPr>
          <w:bCs/>
          <w:b/>
        </w:rPr>
        <w:t xml:space="preserve">Scenario 1:</w:t>
      </w:r>
      <w:r>
        <w:t xml:space="preserve"> </w:t>
      </w:r>
      <w:r>
        <w:t xml:space="preserve">Designing a mixed-use development in the CBD that complies with seismic safety standards.</w:t>
      </w:r>
    </w:p>
    <w:p>
      <w:pPr>
        <w:numPr>
          <w:ilvl w:val="0"/>
          <w:numId w:val="1004"/>
        </w:numPr>
        <w:pStyle w:val="Compact"/>
      </w:pPr>
      <w:r>
        <w:rPr>
          <w:bCs/>
          <w:b/>
        </w:rPr>
        <w:t xml:space="preserve">Scenario 2:</w:t>
      </w:r>
      <w:r>
        <w:t xml:space="preserve"> </w:t>
      </w:r>
      <w:r>
        <w:t xml:space="preserve">Assessing the resilience of coastal infrastructure to storm surges and erosion.</w:t>
      </w:r>
    </w:p>
    <w:p>
      <w:pPr>
        <w:numPr>
          <w:ilvl w:val="0"/>
          <w:numId w:val="1004"/>
        </w:numPr>
        <w:pStyle w:val="Compact"/>
      </w:pPr>
      <w:r>
        <w:rPr>
          <w:bCs/>
          <w:b/>
        </w:rPr>
        <w:t xml:space="preserve">Scenario 3:</w:t>
      </w:r>
      <w:r>
        <w:t xml:space="preserve"> </w:t>
      </w:r>
      <w:r>
        <w:t xml:space="preserve">Optimizing energy efficiency and renewable energy integration for a new residential precinct.</w:t>
      </w:r>
    </w:p>
    <w:p>
      <w:pPr>
        <w:numPr>
          <w:ilvl w:val="0"/>
          <w:numId w:val="1004"/>
        </w:numPr>
        <w:pStyle w:val="Compact"/>
      </w:pPr>
      <w:r>
        <w:rPr>
          <w:bCs/>
          <w:b/>
        </w:rPr>
        <w:t xml:space="preserve">Scenario 4:</w:t>
      </w:r>
      <w:r>
        <w:t xml:space="preserve"> </w:t>
      </w:r>
      <w:r>
        <w:t xml:space="preserve">Evaluating the impact of urban green spaces on biodiversity and air quality.</w:t>
      </w:r>
    </w:p>
    <w:bookmarkEnd w:id="24"/>
    <w:bookmarkStart w:id="25" w:name="stakeholder-engagement"/>
    <w:p>
      <w:pPr>
        <w:pStyle w:val="Heading3"/>
      </w:pPr>
      <w:r>
        <w:t xml:space="preserve">4.3 Stakeholder Engagement</w:t>
      </w:r>
    </w:p>
    <w:p>
      <w:pPr>
        <w:pStyle w:val="FirstParagraph"/>
      </w:pPr>
      <w:r>
        <w:t xml:space="preserve">Stakeholders will be engaged through workshops, surveys, and interviews to provide feedback on the Architect system’s outputs. Participants will include:</w:t>
      </w:r>
    </w:p>
    <w:p>
      <w:pPr>
        <w:numPr>
          <w:ilvl w:val="0"/>
          <w:numId w:val="1005"/>
        </w:numPr>
        <w:pStyle w:val="Compact"/>
      </w:pPr>
      <w:r>
        <w:t xml:space="preserve">Local architects and urban planners.</w:t>
      </w:r>
    </w:p>
    <w:p>
      <w:pPr>
        <w:numPr>
          <w:ilvl w:val="0"/>
          <w:numId w:val="1005"/>
        </w:numPr>
        <w:pStyle w:val="Compact"/>
      </w:pPr>
      <w:r>
        <w:t xml:space="preserve">Engineers specializing in seismic and structural design.</w:t>
      </w:r>
    </w:p>
    <w:p>
      <w:pPr>
        <w:numPr>
          <w:ilvl w:val="0"/>
          <w:numId w:val="1005"/>
        </w:numPr>
        <w:pStyle w:val="Compact"/>
      </w:pPr>
      <w:r>
        <w:t xml:space="preserve">Representatives from Wellington City Council and other government agencies.</w:t>
      </w:r>
    </w:p>
    <w:p>
      <w:pPr>
        <w:numPr>
          <w:ilvl w:val="0"/>
          <w:numId w:val="1005"/>
        </w:numPr>
        <w:pStyle w:val="Compact"/>
      </w:pPr>
      <w:r>
        <w:t xml:space="preserve">Community groups and environmental organizations.</w:t>
      </w:r>
    </w:p>
    <w:bookmarkEnd w:id="25"/>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Preparation</w:t>
            </w:r>
          </w:p>
        </w:tc>
        <w:tc>
          <w:tcPr/>
          <w:p>
            <w:pPr>
              <w:pStyle w:val="Compact"/>
              <w:jc w:val="left"/>
            </w:pPr>
            <w:r>
              <w:t xml:space="preserve">4 weeks</w:t>
            </w:r>
          </w:p>
        </w:tc>
        <w:tc>
          <w:tcPr/>
          <w:p>
            <w:pPr>
              <w:pStyle w:val="Compact"/>
              <w:jc w:val="left"/>
            </w:pPr>
            <w:r>
              <w:t xml:space="preserve">Data collection, stakeholder identification, and scenario design.</w:t>
            </w:r>
          </w:p>
        </w:tc>
      </w:tr>
      <w:tr>
        <w:tc>
          <w:tcPr/>
          <w:p>
            <w:pPr>
              <w:pStyle w:val="Compact"/>
              <w:jc w:val="left"/>
            </w:pPr>
            <w:r>
              <w:t xml:space="preserve">Phase 2: Implementation</w:t>
            </w:r>
          </w:p>
        </w:tc>
        <w:tc>
          <w:tcPr/>
          <w:p>
            <w:pPr>
              <w:pStyle w:val="Compact"/>
              <w:jc w:val="left"/>
            </w:pPr>
            <w:r>
              <w:t xml:space="preserve">8 weeks</w:t>
            </w:r>
          </w:p>
        </w:tc>
        <w:tc>
          <w:tcPr/>
          <w:p>
            <w:pPr>
              <w:pStyle w:val="Compact"/>
              <w:jc w:val="left"/>
            </w:pPr>
            <w:r>
              <w:t xml:space="preserve">Running simulations, analyzing outputs, and conducting workshops.</w:t>
            </w:r>
          </w:p>
        </w:tc>
      </w:tr>
      <w:tr>
        <w:tc>
          <w:tcPr/>
          <w:p>
            <w:pPr>
              <w:pStyle w:val="Compact"/>
              <w:jc w:val="left"/>
            </w:pPr>
            <w:r>
              <w:t xml:space="preserve">Phase 3: Evaluation</w:t>
            </w:r>
          </w:p>
        </w:tc>
        <w:tc>
          <w:tcPr/>
          <w:p>
            <w:pPr>
              <w:pStyle w:val="Compact"/>
              <w:jc w:val="left"/>
            </w:pPr>
            <w:r>
              <w:t xml:space="preserve">4 weeks</w:t>
            </w:r>
          </w:p>
        </w:tc>
        <w:tc>
          <w:tcPr/>
          <w:p>
            <w:pPr>
              <w:pStyle w:val="Compact"/>
              <w:jc w:val="left"/>
            </w:pPr>
            <w:r>
              <w:t xml:space="preserve">Compiling results, gathering feedback, and drafting recommendations.</w:t>
            </w:r>
          </w:p>
        </w:tc>
      </w:tr>
      <w:tr>
        <w:tc>
          <w:tcPr/>
          <w:p>
            <w:pPr>
              <w:pStyle w:val="Compact"/>
              <w:jc w:val="left"/>
            </w:pPr>
            <w:r>
              <w:t xml:space="preserve">Phase 4: Reporting</w:t>
            </w:r>
          </w:p>
        </w:tc>
        <w:tc>
          <w:tcPr/>
          <w:p>
            <w:pPr>
              <w:pStyle w:val="Compact"/>
              <w:jc w:val="left"/>
            </w:pPr>
            <w:r>
              <w:t xml:space="preserve">2 weeks</w:t>
            </w:r>
          </w:p>
        </w:tc>
        <w:tc>
          <w:tcPr/>
          <w:p>
            <w:pPr>
              <w:pStyle w:val="Compact"/>
              <w:jc w:val="left"/>
            </w:pPr>
            <w:r>
              <w:t xml:space="preserve">Finalizing the report and presenting findings to stakeholders.</w:t>
            </w:r>
          </w:p>
        </w:tc>
      </w:tr>
    </w:tbl>
    <w:bookmarkEnd w:id="27"/>
    <w:bookmarkStart w:id="28" w:name="expected-outcomes"/>
    <w:p>
      <w:pPr>
        <w:pStyle w:val="Heading2"/>
      </w:pPr>
      <w:r>
        <w:t xml:space="preserve">6. Expected Outcomes</w:t>
      </w:r>
    </w:p>
    <w:p>
      <w:pPr>
        <w:pStyle w:val="FirstParagraph"/>
      </w:pPr>
      <w:r>
        <w:t xml:space="preserve">The experiment is expected to yield the following outcomes:</w:t>
      </w:r>
    </w:p>
    <w:p>
      <w:pPr>
        <w:numPr>
          <w:ilvl w:val="0"/>
          <w:numId w:val="1006"/>
        </w:numPr>
        <w:pStyle w:val="Compact"/>
      </w:pPr>
      <w:r>
        <w:t xml:space="preserve">A comprehensive assessment of the Architect system’s suitability for Wellington’s urban planning and design needs.</w:t>
      </w:r>
    </w:p>
    <w:p>
      <w:pPr>
        <w:numPr>
          <w:ilvl w:val="0"/>
          <w:numId w:val="1006"/>
        </w:numPr>
        <w:pStyle w:val="Compact"/>
      </w:pPr>
      <w:r>
        <w:t xml:space="preserve">Identified strengths and limitations of the system in addressing local challenges.</w:t>
      </w:r>
    </w:p>
    <w:p>
      <w:pPr>
        <w:numPr>
          <w:ilvl w:val="0"/>
          <w:numId w:val="1006"/>
        </w:numPr>
        <w:pStyle w:val="Compact"/>
      </w:pPr>
      <w:r>
        <w:t xml:space="preserve">Recommendations for improving the system’s functionality and relevance.</w:t>
      </w:r>
    </w:p>
    <w:p>
      <w:pPr>
        <w:numPr>
          <w:ilvl w:val="0"/>
          <w:numId w:val="1006"/>
        </w:numPr>
        <w:pStyle w:val="Compact"/>
      </w:pPr>
      <w:r>
        <w:t xml:space="preserve">Enhanced collaboration between technology developers, local authorities, and community stakeholders.</w:t>
      </w:r>
    </w:p>
    <w:bookmarkEnd w:id="28"/>
    <w:bookmarkStart w:id="29" w:name="ethical-considerations"/>
    <w:p>
      <w:pPr>
        <w:pStyle w:val="Heading2"/>
      </w:pPr>
      <w:r>
        <w:t xml:space="preserve">7. Ethical Considerations</w:t>
      </w:r>
    </w:p>
    <w:p>
      <w:pPr>
        <w:pStyle w:val="FirstParagraph"/>
      </w:pPr>
      <w:r>
        <w:t xml:space="preserve">This experiment will adhere to ethical guidelines to ensure transparency, fairness, and respect for participants:</w:t>
      </w:r>
    </w:p>
    <w:p>
      <w:pPr>
        <w:numPr>
          <w:ilvl w:val="0"/>
          <w:numId w:val="1007"/>
        </w:numPr>
        <w:pStyle w:val="Compact"/>
      </w:pPr>
      <w:r>
        <w:t xml:space="preserve">Informed consent will be obtained from all stakeholders involved in the study.</w:t>
      </w:r>
    </w:p>
    <w:p>
      <w:pPr>
        <w:numPr>
          <w:ilvl w:val="0"/>
          <w:numId w:val="1007"/>
        </w:numPr>
        <w:pStyle w:val="Compact"/>
      </w:pPr>
      <w:r>
        <w:t xml:space="preserve">Data privacy and confidentiality will be maintained in accordance with New Zealand’s Privacy Act.</w:t>
      </w:r>
    </w:p>
    <w:p>
      <w:pPr>
        <w:numPr>
          <w:ilvl w:val="0"/>
          <w:numId w:val="1007"/>
        </w:numPr>
        <w:pStyle w:val="Compact"/>
      </w:pPr>
      <w:r>
        <w:t xml:space="preserve">Findings will be reported objectively, without bias or undue influence.</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Architect system in the context of New Zealand Wellington. By addressing the city’s unique environmental, regulatory, and social dynamics, this experiment aims to contribute to the development of innovative solutions that enhance Wellington’s resilience, sustainability, and livability. The insights gained will not only benefit Wellington but also serve as a model for other cities facing similar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New Zealand Wellington</dc:title>
  <dc:creator/>
  <dc:language>en</dc:language>
  <cp:keywords/>
  <dcterms:created xsi:type="dcterms:W3CDTF">2026-10-10T01:20:53Z</dcterms:created>
  <dcterms:modified xsi:type="dcterms:W3CDTF">2026-10-10T01:20:53Z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