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The</w:t>
      </w:r>
      <w:r>
        <w:t xml:space="preserve"> </w:t>
      </w:r>
      <w:r>
        <w:t xml:space="preserve">Architect</w:t>
      </w:r>
      <w:r>
        <w:t xml:space="preserve"> </w:t>
      </w:r>
      <w:r>
        <w:t xml:space="preserve">-</w:t>
      </w:r>
      <w:r>
        <w:t xml:space="preserve"> </w:t>
      </w:r>
      <w:r>
        <w:t xml:space="preserve">Urban</w:t>
      </w:r>
      <w:r>
        <w:t xml:space="preserve"> </w:t>
      </w:r>
      <w:r>
        <w:t xml:space="preserve">Context</w:t>
      </w:r>
      <w:r>
        <w:t xml:space="preserve"> </w:t>
      </w:r>
      <w:r>
        <w:t xml:space="preserve">Barcelona</w:t>
      </w:r>
    </w:p>
    <w:bookmarkStart w:id="20" w:name="experiment-protocol-the-architect"/>
    <w:p>
      <w:pPr>
        <w:pStyle w:val="Heading1"/>
      </w:pPr>
      <w:r>
        <w:t xml:space="preserve">Experiment Protocol: The Architect</w:t>
      </w:r>
    </w:p>
    <w:p>
      <w:pPr>
        <w:pStyle w:val="FirstParagraph"/>
      </w:pPr>
      <w:r>
        <w:t xml:space="preserve">Operational Framework for Urban Integration and Structural Analysis</w:t>
      </w:r>
    </w:p>
    <w:bookmarkEnd w:id="20"/>
    <w:p>
      <w:pPr>
        <w:pStyle w:val="BodyText"/>
      </w:pPr>
      <w:r>
        <w:rPr>
          <w:bCs/>
          <w:b/>
        </w:rPr>
        <w:t xml:space="preserve">Protocol ID:</w:t>
      </w:r>
      <w:r>
        <w:t xml:space="preserve"> </w:t>
      </w:r>
      <w:r>
        <w:t xml:space="preserve">EXP-ARC-BCN-2024-001</w:t>
      </w:r>
    </w:p>
    <w:p>
      <w:pPr>
        <w:pStyle w:val="BodyText"/>
      </w:pPr>
      <w:r>
        <w:rPr>
          <w:bCs/>
          <w:b/>
        </w:rPr>
        <w:t xml:space="preserve">Subject:</w:t>
      </w:r>
      <w:r>
        <w:t xml:space="preserve"> </w:t>
      </w:r>
      <w:r>
        <w:t xml:space="preserve">The Architect (Autonomous Design &amp; Structural Optimization Entity)</w:t>
      </w:r>
    </w:p>
    <w:p>
      <w:pPr>
        <w:pStyle w:val="BodyText"/>
      </w:pPr>
      <w:r>
        <w:rPr>
          <w:bCs/>
          <w:b/>
        </w:rPr>
        <w:t xml:space="preserve">Location:</w:t>
      </w:r>
      <w:r>
        <w:t xml:space="preserve"> </w:t>
      </w:r>
      <w:r>
        <w:t xml:space="preserve">Spain Barcelona (Primary Test Zone: Eixample &amp; 22@ District)</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1" w:name="introduction-and-objective"/>
    <w:p>
      <w:pPr>
        <w:pStyle w:val="Heading2"/>
      </w:pPr>
      <w:r>
        <w:t xml:space="preserve">1. Introduction and Objective</w:t>
      </w:r>
    </w:p>
    <w:p>
      <w:pPr>
        <w:pStyle w:val="FirstParagraph"/>
      </w:pPr>
      <w:r>
        <w:t xml:space="preserve">This Experiment Protocol outlines the rigorous testing procedures for "The Architect," an advanced algorithmic system designed to optimize urban planning, structural integrity, and aesthetic coherence within complex metropolitan environments. The primary objective of this experiment is to evaluate The Architect's capability to generate viable, sustainable, and culturally resonant architectural solutions specifically tailored to the unique topographical, historical, and regulatory landscape of Spain Barcelona.</w:t>
      </w:r>
    </w:p>
    <w:p>
      <w:pPr>
        <w:pStyle w:val="BodyText"/>
      </w:pPr>
      <w:r>
        <w:t xml:space="preserve">Barcelona presents a distinct challenge due to its juxtaposition of the rigid grid of the Eixample district, the organic growth of the Gothic Quarter, and the modern innovation hub of the 22@ district. The Architect must demonstrate adaptability across these diverse zones while adhering to strict Spanish building codes (Código Técnico de la Edificación - CTE) and local municipal regulations.</w:t>
      </w:r>
    </w:p>
    <w:bookmarkEnd w:id="21"/>
    <w:bookmarkStart w:id="24" w:name="scope-and-definitions"/>
    <w:p>
      <w:pPr>
        <w:pStyle w:val="Heading2"/>
      </w:pPr>
      <w:r>
        <w:t xml:space="preserve">2. Scope and Definitions</w:t>
      </w:r>
    </w:p>
    <w:bookmarkStart w:id="22" w:name="the-architect"/>
    <w:p>
      <w:pPr>
        <w:pStyle w:val="Heading3"/>
      </w:pPr>
      <w:r>
        <w:t xml:space="preserve">2.1 The Architect</w:t>
      </w:r>
    </w:p>
    <w:p>
      <w:pPr>
        <w:pStyle w:val="FirstParagraph"/>
      </w:pPr>
      <w:r>
        <w:t xml:space="preserve">For the purposes of this protocol, "The Architect" refers to the AI-driven generative design engine capable of processing geospatial data, environmental metrics, and historical constraints to produce architectural blueprints and urban interventions.</w:t>
      </w:r>
    </w:p>
    <w:bookmarkEnd w:id="22"/>
    <w:bookmarkStart w:id="23" w:name="spain-barcelona-context"/>
    <w:p>
      <w:pPr>
        <w:pStyle w:val="Heading3"/>
      </w:pPr>
      <w:r>
        <w:t xml:space="preserve">2.2 Spain Barcelona Context</w:t>
      </w:r>
    </w:p>
    <w:p>
      <w:pPr>
        <w:pStyle w:val="FirstParagraph"/>
      </w:pPr>
      <w:r>
        <w:t xml:space="preserve">The experimental site is defined as the municipality of Barcelona, Catalonia, Spain. Key parameters include the Mediterranean climate, seismic risk profiles specific to the Iberian Peninsula, and the preservation requirements of UNESCO World Heritage sites within the city limits.</w:t>
      </w:r>
    </w:p>
    <w:bookmarkEnd w:id="23"/>
    <w:bookmarkEnd w:id="24"/>
    <w:bookmarkStart w:id="28" w:name="methodology"/>
    <w:p>
      <w:pPr>
        <w:pStyle w:val="Heading2"/>
      </w:pPr>
      <w:r>
        <w:t xml:space="preserve">3. Methodology</w:t>
      </w:r>
    </w:p>
    <w:p>
      <w:pPr>
        <w:pStyle w:val="FirstParagraph"/>
      </w:pPr>
      <w:r>
        <w:t xml:space="preserve">The experiment will be conducted in three distinct phases, each focusing on a different aspect of The Architect's functionality within the Barcelona context.</w:t>
      </w:r>
    </w:p>
    <w:bookmarkStart w:id="25" w:name="X3221509f8a168d4ca333c88c55582e2cf96fa1e"/>
    <w:p>
      <w:pPr>
        <w:pStyle w:val="Heading3"/>
      </w:pPr>
      <w:r>
        <w:t xml:space="preserve">Phase 1: Data Ingestion and Constraint Mapping</w:t>
      </w:r>
    </w:p>
    <w:p>
      <w:pPr>
        <w:pStyle w:val="FirstParagraph"/>
      </w:pPr>
      <w:r>
        <w:t xml:space="preserve">The Architect will ingest high-resolution LiDAR data of the Barcelona metropolitan area. This phase involves mapping:</w:t>
      </w:r>
    </w:p>
    <w:p>
      <w:pPr>
        <w:numPr>
          <w:ilvl w:val="0"/>
          <w:numId w:val="1001"/>
        </w:numPr>
        <w:pStyle w:val="Compact"/>
      </w:pPr>
      <w:r>
        <w:rPr>
          <w:bCs/>
          <w:b/>
        </w:rPr>
        <w:t xml:space="preserve">Regulatory Constraints:</w:t>
      </w:r>
      <w:r>
        <w:t xml:space="preserve"> </w:t>
      </w:r>
      <w:r>
        <w:t xml:space="preserve">Integration of the Barcelona Municipal Urban Plan (PMUB) data, including height restrictions, setback requirements, and density limits.</w:t>
      </w:r>
    </w:p>
    <w:p>
      <w:pPr>
        <w:numPr>
          <w:ilvl w:val="0"/>
          <w:numId w:val="1001"/>
        </w:numPr>
        <w:pStyle w:val="Compact"/>
      </w:pPr>
      <w:r>
        <w:rPr>
          <w:bCs/>
          <w:b/>
        </w:rPr>
        <w:t xml:space="preserve">Environmental Factors:</w:t>
      </w:r>
      <w:r>
        <w:t xml:space="preserve"> </w:t>
      </w:r>
      <w:r>
        <w:t xml:space="preserve">Analysis of solar orientation, wind patterns (including the Tramuntana), and thermal mass requirements for Mediterranean climates.</w:t>
      </w:r>
    </w:p>
    <w:p>
      <w:pPr>
        <w:numPr>
          <w:ilvl w:val="0"/>
          <w:numId w:val="1001"/>
        </w:numPr>
        <w:pStyle w:val="Compact"/>
      </w:pPr>
      <w:r>
        <w:rPr>
          <w:bCs/>
          <w:b/>
        </w:rPr>
        <w:t xml:space="preserve">Historical Preservation:</w:t>
      </w:r>
      <w:r>
        <w:t xml:space="preserve"> </w:t>
      </w:r>
      <w:r>
        <w:t xml:space="preserve">Identification of protected facades and heritage zones where The Architect must operate in "conservation mode."</w:t>
      </w:r>
    </w:p>
    <w:bookmarkEnd w:id="25"/>
    <w:bookmarkStart w:id="26" w:name="phase-2-generative-design-simulation"/>
    <w:p>
      <w:pPr>
        <w:pStyle w:val="Heading3"/>
      </w:pPr>
      <w:r>
        <w:t xml:space="preserve">Phase 2: Generative Design Simulation</w:t>
      </w:r>
    </w:p>
    <w:p>
      <w:pPr>
        <w:pStyle w:val="FirstParagraph"/>
      </w:pPr>
      <w:r>
        <w:t xml:space="preserve">The Architect will be tasked with generating design proposals for three hypothetical sites:</w:t>
      </w:r>
    </w:p>
    <w:p>
      <w:pPr>
        <w:numPr>
          <w:ilvl w:val="0"/>
          <w:numId w:val="1002"/>
        </w:numPr>
        <w:pStyle w:val="Compact"/>
      </w:pPr>
      <w:r>
        <w:rPr>
          <w:bCs/>
          <w:b/>
        </w:rPr>
        <w:t xml:space="preserve">Site A (Eixample):</w:t>
      </w:r>
      <w:r>
        <w:t xml:space="preserve"> </w:t>
      </w:r>
      <w:r>
        <w:t xml:space="preserve">A mixed-use residential tower requiring integration with the chamfered corners (xamfrans) typical of Ildefons Cerdà's grid.</w:t>
      </w:r>
    </w:p>
    <w:p>
      <w:pPr>
        <w:numPr>
          <w:ilvl w:val="0"/>
          <w:numId w:val="1002"/>
        </w:numPr>
        <w:pStyle w:val="Compact"/>
      </w:pPr>
      <w:r>
        <w:rPr>
          <w:bCs/>
          <w:b/>
        </w:rPr>
        <w:t xml:space="preserve">Site B (22@ District):</w:t>
      </w:r>
      <w:r>
        <w:t xml:space="preserve"> </w:t>
      </w:r>
      <w:r>
        <w:t xml:space="preserve">A sustainable tech campus focusing on energy efficiency and green infrastructure.</w:t>
      </w:r>
    </w:p>
    <w:p>
      <w:pPr>
        <w:numPr>
          <w:ilvl w:val="0"/>
          <w:numId w:val="1002"/>
        </w:numPr>
        <w:pStyle w:val="Compact"/>
      </w:pPr>
      <w:r>
        <w:rPr>
          <w:bCs/>
          <w:b/>
        </w:rPr>
        <w:t xml:space="preserve">Site C (Barceloneta):</w:t>
      </w:r>
      <w:r>
        <w:t xml:space="preserve"> </w:t>
      </w:r>
      <w:r>
        <w:t xml:space="preserve">A coastal intervention addressing sea-level rise and public space accessibility.</w:t>
      </w:r>
    </w:p>
    <w:p>
      <w:pPr>
        <w:pStyle w:val="FirstParagraph"/>
      </w:pPr>
      <w:r>
        <w:t xml:space="preserve">The Architect must produce at least 500 variations per site, optimizing for structural efficiency, energy consumption, and visual harmony with the surrounding Barcelona skyline.</w:t>
      </w:r>
    </w:p>
    <w:bookmarkEnd w:id="26"/>
    <w:bookmarkStart w:id="27" w:name="phase-3-human-in-the-loop-evaluation"/>
    <w:p>
      <w:pPr>
        <w:pStyle w:val="Heading3"/>
      </w:pPr>
      <w:r>
        <w:t xml:space="preserve">Phase 3: Human-in-the-Loop Evaluation</w:t>
      </w:r>
    </w:p>
    <w:p>
      <w:pPr>
        <w:pStyle w:val="FirstParagraph"/>
      </w:pPr>
      <w:r>
        <w:t xml:space="preserve">A panel of licensed architects and urban planners based in Spain Barcelona will evaluate the top 10 designs from each site. They will assess compliance with the CTE, aesthetic appropriateness, and feasibility of construction using local materials and labor practices.</w:t>
      </w:r>
    </w:p>
    <w:bookmarkEnd w:id="27"/>
    <w:bookmarkEnd w:id="28"/>
    <w:bookmarkStart w:id="29" w:name="Xb17136afce394fca32c55401d23cf808db670f0"/>
    <w:p>
      <w:pPr>
        <w:pStyle w:val="Heading2"/>
      </w:pPr>
      <w:r>
        <w:t xml:space="preserve">4. Technical Requirements and Infrastructure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Specification</w:t>
            </w:r>
          </w:p>
        </w:tc>
      </w:tr>
      <w:tr>
        <w:tc>
          <w:tcPr/>
          <w:p>
            <w:pPr>
              <w:pStyle w:val="Compact"/>
              <w:jc w:val="left"/>
            </w:pPr>
            <w:r>
              <w:t xml:space="preserve">Computing Power</w:t>
            </w:r>
          </w:p>
        </w:tc>
        <w:tc>
          <w:tcPr/>
          <w:p>
            <w:pPr>
              <w:pStyle w:val="Compact"/>
              <w:jc w:val="left"/>
            </w:pPr>
            <w:r>
              <w:t xml:space="preserve">Cloud-based GPU cluster with minimum 400 TFLOPS for real-time rendering.</w:t>
            </w:r>
          </w:p>
        </w:tc>
      </w:tr>
      <w:tr>
        <w:tc>
          <w:tcPr/>
          <w:p>
            <w:pPr>
              <w:pStyle w:val="Compact"/>
              <w:jc w:val="left"/>
            </w:pPr>
            <w:r>
              <w:t xml:space="preserve">Data Sources</w:t>
            </w:r>
          </w:p>
        </w:tc>
        <w:tc>
          <w:tcPr/>
          <w:p>
            <w:pPr>
              <w:pStyle w:val="Compact"/>
              <w:jc w:val="left"/>
            </w:pPr>
            <w:r>
              <w:t xml:space="preserve">Open Data Barcelona API, IGN (National Geographic Institute) Spain, CTE Database.</w:t>
            </w:r>
          </w:p>
        </w:tc>
      </w:tr>
      <w:tr>
        <w:tc>
          <w:tcPr/>
          <w:p>
            <w:pPr>
              <w:pStyle w:val="Compact"/>
              <w:jc w:val="left"/>
            </w:pPr>
            <w:r>
              <w:t xml:space="preserve">Software Stack</w:t>
            </w:r>
          </w:p>
        </w:tc>
        <w:tc>
          <w:tcPr/>
          <w:p>
            <w:pPr>
              <w:pStyle w:val="Compact"/>
              <w:jc w:val="left"/>
            </w:pPr>
            <w:r>
              <w:t xml:space="preserve">Python, TensorFlow, Revit API integration, CityGML for 3D city modeling.</w:t>
            </w:r>
          </w:p>
        </w:tc>
      </w:tr>
      <w:tr>
        <w:tc>
          <w:tcPr/>
          <w:p>
            <w:pPr>
              <w:pStyle w:val="Compact"/>
              <w:jc w:val="left"/>
            </w:pPr>
            <w:r>
              <w:t xml:space="preserve">Language Support</w:t>
            </w:r>
          </w:p>
        </w:tc>
        <w:tc>
          <w:tcPr/>
          <w:p>
            <w:pPr>
              <w:pStyle w:val="Compact"/>
              <w:jc w:val="left"/>
            </w:pPr>
            <w:r>
              <w:t xml:space="preserve">English (primary), Spanish, Catalan (for regulatory document parsing).</w:t>
            </w:r>
          </w:p>
        </w:tc>
      </w:tr>
    </w:tbl>
    <w:bookmarkEnd w:id="29"/>
    <w:bookmarkStart w:id="30" w:name="ethical-considerations-and-compliance"/>
    <w:p>
      <w:pPr>
        <w:pStyle w:val="Heading2"/>
      </w:pPr>
      <w:r>
        <w:t xml:space="preserve">5. Ethical Considerations and Compliance</w:t>
      </w:r>
    </w:p>
    <w:p>
      <w:pPr>
        <w:pStyle w:val="FirstParagraph"/>
      </w:pPr>
      <w:r>
        <w:t xml:space="preserve">This experiment adheres to the General Data Protection Regulation (GDPR) of the European Union. Any personal data collected during the human evaluation phase will be anonymized. Furthermore, The Architect's algorithms are designed to avoid bias in housing distribution and ensure equitable access to public spaces, aligning with the social values of Barcelona's urban planning philosophy.</w:t>
      </w:r>
    </w:p>
    <w:p>
      <w:pPr>
        <w:pStyle w:val="BodyText"/>
      </w:pPr>
      <w:r>
        <w:rPr>
          <w:bCs/>
          <w:b/>
        </w:rPr>
        <w:t xml:space="preserve">Note:</w:t>
      </w:r>
      <w:r>
        <w:t xml:space="preserve"> </w:t>
      </w:r>
      <w:r>
        <w:t xml:space="preserve">The Architect is not authorized to issue legally binding construction permits. All outputs are considered preliminary design concepts subject to review by licensed professionals in Spain Barcelona.</w:t>
      </w:r>
    </w:p>
    <w:bookmarkEnd w:id="30"/>
    <w:bookmarkStart w:id="31" w:name="risk-management"/>
    <w:p>
      <w:pPr>
        <w:pStyle w:val="Heading2"/>
      </w:pPr>
      <w:r>
        <w:t xml:space="preserve">6. Risk Management</w:t>
      </w:r>
    </w:p>
    <w:p>
      <w:pPr>
        <w:pStyle w:val="FirstParagraph"/>
      </w:pPr>
      <w:r>
        <w:t xml:space="preserve">Potential risks include algorithmic hallucination leading to structurally unsound designs or non-compliance with local heritage laws. Mitigation strategies include:</w:t>
      </w:r>
    </w:p>
    <w:p>
      <w:pPr>
        <w:numPr>
          <w:ilvl w:val="0"/>
          <w:numId w:val="1003"/>
        </w:numPr>
        <w:pStyle w:val="Compact"/>
      </w:pPr>
      <w:r>
        <w:t xml:space="preserve">Real-time validation against the CTE database.</w:t>
      </w:r>
    </w:p>
    <w:p>
      <w:pPr>
        <w:numPr>
          <w:ilvl w:val="0"/>
          <w:numId w:val="1003"/>
        </w:numPr>
        <w:pStyle w:val="Compact"/>
      </w:pPr>
      <w:r>
        <w:t xml:space="preserve">Hard-coded constraints for protected heritage zones.</w:t>
      </w:r>
    </w:p>
    <w:p>
      <w:pPr>
        <w:numPr>
          <w:ilvl w:val="0"/>
          <w:numId w:val="1003"/>
        </w:numPr>
        <w:pStyle w:val="Compact"/>
      </w:pPr>
      <w:r>
        <w:t xml:space="preserve">Continuous monitoring by a human oversight committee.</w:t>
      </w:r>
    </w:p>
    <w:bookmarkEnd w:id="31"/>
    <w:bookmarkStart w:id="32" w:name="conclusion"/>
    <w:p>
      <w:pPr>
        <w:pStyle w:val="Heading2"/>
      </w:pPr>
      <w:r>
        <w:t xml:space="preserve">7. Conclusion</w:t>
      </w:r>
    </w:p>
    <w:p>
      <w:pPr>
        <w:pStyle w:val="FirstParagraph"/>
      </w:pPr>
      <w:r>
        <w:t xml:space="preserve">This Experiment Protocol establishes a comprehensive framework for testing The Architect within the vibrant and complex urban fabric of Spain Barcelona. By rigorously evaluating its ability to navigate local regulations, environmental conditions, and cultural aesthetics, we aim to advance the field of computational architecture and contribute to the sustainable future of Barcelona's built environment.</w:t>
      </w:r>
    </w:p>
    <w:p>
      <w:pPr>
        <w:pStyle w:val="BodyText"/>
      </w:pPr>
      <w:r>
        <w:t xml:space="preserve">© 2023 Urban Innovation Lab. All rights reserved. | Experiment Protocol: The Architect | Spain Barcelona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The Architect - Urban Context Barcelona</dc:title>
  <dc:creator/>
  <dc:language>en</dc:language>
  <cp:keywords/>
  <dcterms:created xsi:type="dcterms:W3CDTF">2026-10-10T02:09:24Z</dcterms:created>
  <dcterms:modified xsi:type="dcterms:W3CDTF">2026-10-10T02:09:24Z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