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Architectural</w:t>
      </w:r>
      <w:r>
        <w:t xml:space="preserve"> </w:t>
      </w:r>
      <w:r>
        <w:t xml:space="preserve">Resilience</w:t>
      </w:r>
      <w:r>
        <w:t xml:space="preserve"> </w:t>
      </w:r>
      <w:r>
        <w:t xml:space="preserve">in</w:t>
      </w:r>
      <w:r>
        <w:t xml:space="preserve"> </w:t>
      </w:r>
      <w:r>
        <w:t xml:space="preserve">Abu</w:t>
      </w:r>
      <w:r>
        <w:t xml:space="preserve"> </w:t>
      </w:r>
      <w:r>
        <w:t xml:space="preserve">Dhabi</w:t>
      </w:r>
    </w:p>
    <w:bookmarkStart w:id="30" w:name="X073f2fa70e0f12eb770c855720ef9ba05dd1eec"/>
    <w:p>
      <w:pPr>
        <w:pStyle w:val="Heading1"/>
      </w:pPr>
      <w:r>
        <w:t xml:space="preserve">Experiment Protocol: The Architectural Resilience and Sustainability Index (ARSI)</w:t>
      </w:r>
    </w:p>
    <w:p>
      <w:pPr>
        <w:pStyle w:val="FirstParagraph"/>
      </w:pPr>
      <w:r>
        <w:rPr>
          <w:bCs/>
          <w:b/>
        </w:rPr>
        <w:t xml:space="preserve">Protocol ID:</w:t>
      </w:r>
      <w:r>
        <w:t xml:space="preserve"> </w:t>
      </w:r>
      <w:r>
        <w:t xml:space="preserve">UAE-AD-ARCH-2024-001</w:t>
      </w:r>
    </w:p>
    <w:p>
      <w:pPr>
        <w:pStyle w:val="BodyText"/>
      </w:pPr>
      <w:r>
        <w:rPr>
          <w:bCs/>
          <w:b/>
        </w:rPr>
        <w:t xml:space="preserve">Location:</w:t>
      </w:r>
      <w:r>
        <w:t xml:space="preserve"> </w:t>
      </w:r>
      <w:r>
        <w:t xml:space="preserve">United Arab Emirates, Abu Dhabi</w:t>
      </w:r>
    </w:p>
    <w:p>
      <w:pPr>
        <w:pStyle w:val="BodyText"/>
      </w:pPr>
      <w:r>
        <w:rPr>
          <w:bCs/>
          <w:b/>
        </w:rPr>
        <w:t xml:space="preserve">Subject:</w:t>
      </w:r>
      <w:r>
        <w:t xml:space="preserve"> </w:t>
      </w:r>
      <w:r>
        <w:t xml:space="preserve">Architectural Performance in Arid Climates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United Arab Emirates, and specifically the capital city of Abu Dhabi, represents a unique architectural laboratory. Characterized by extreme arid conditions, high solar irradiance, and significant humidity fluctuations, Abu Dhabi presents distinct challenges for the built environment. As the city continues to evolve under the strategic vision of the Abu Dhabi Urban Planning Council (UPC), there is an urgent need to validate the efficacy of modern architectural interventions against traditional vernacular principles.</w:t>
      </w:r>
    </w:p>
    <w:p>
      <w:pPr>
        <w:pStyle w:val="BodyText"/>
      </w:pPr>
      <w:r>
        <w:t xml:space="preserve">This Experiment Protocol outlines the methodology for testing the "Architectural Resilience and Sustainability Index" (ARSI). The primary objective is to evaluate how contemporary architectural designs perform in terms of thermal comfort, energy efficiency, and occupant well-being when subjected to the specific climatic stressors of Abu Dhabi. This protocol is designed for use by architects, urban planners, and engineering firms operating within the Emirate.</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quantify the thermal performance of three distinct architectural typologies: (1) Traditional Wind-Catcher Integration, (2) High-Tech Smart Glass Facades, and (3) Hybrid Passive-Active Systems.</w:t>
      </w:r>
    </w:p>
    <w:p>
      <w:pPr>
        <w:numPr>
          <w:ilvl w:val="0"/>
          <w:numId w:val="1001"/>
        </w:numPr>
        <w:pStyle w:val="Compact"/>
      </w:pPr>
      <w:r>
        <w:t xml:space="preserve">To assess the correlation between architectural design features and energy consumption metrics in Abu Dhabi's commercial and residential sectors.</w:t>
      </w:r>
    </w:p>
    <w:p>
      <w:pPr>
        <w:numPr>
          <w:ilvl w:val="0"/>
          <w:numId w:val="1001"/>
        </w:numPr>
        <w:pStyle w:val="Compact"/>
      </w:pPr>
      <w:r>
        <w:t xml:space="preserve">To determine the impact of specific architectural orientations and shading devices on indoor air quality and temperature stability.</w:t>
      </w:r>
    </w:p>
    <w:p>
      <w:pPr>
        <w:numPr>
          <w:ilvl w:val="0"/>
          <w:numId w:val="1001"/>
        </w:numPr>
        <w:pStyle w:val="Compact"/>
      </w:pPr>
      <w:r>
        <w:t xml:space="preserve">To provide data-driven recommendations for the Abu Dhabi Estidama Pearl Rating System.</w:t>
      </w:r>
    </w:p>
    <w:bookmarkEnd w:id="21"/>
    <w:bookmarkStart w:id="22" w:name="scope-and-site-selection"/>
    <w:p>
      <w:pPr>
        <w:pStyle w:val="Heading2"/>
      </w:pPr>
      <w:r>
        <w:t xml:space="preserve">3. Scope and Site Selection</w:t>
      </w:r>
    </w:p>
    <w:p>
      <w:pPr>
        <w:pStyle w:val="FirstParagraph"/>
      </w:pPr>
      <w:r>
        <w:t xml:space="preserve">The experiment will be conducted across three selected sites within Abu Dhabi, chosen to represent different microclimates and urban densities.</w:t>
      </w:r>
    </w:p>
    <w:p>
      <w:pPr>
        <w:numPr>
          <w:ilvl w:val="0"/>
          <w:numId w:val="1002"/>
        </w:numPr>
        <w:pStyle w:val="Compact"/>
      </w:pPr>
      <w:r>
        <w:rPr>
          <w:bCs/>
          <w:b/>
        </w:rPr>
        <w:t xml:space="preserve">Site A (Saadiyat Island):</w:t>
      </w:r>
      <w:r>
        <w:t xml:space="preserve"> </w:t>
      </w:r>
      <w:r>
        <w:t xml:space="preserve">A low-density residential complex featuring modernist architecture with large glazing ratios.</w:t>
      </w:r>
    </w:p>
    <w:p>
      <w:pPr>
        <w:numPr>
          <w:ilvl w:val="0"/>
          <w:numId w:val="1002"/>
        </w:numPr>
        <w:pStyle w:val="Compact"/>
      </w:pPr>
      <w:r>
        <w:rPr>
          <w:bCs/>
          <w:b/>
        </w:rPr>
        <w:t xml:space="preserve">Site B (Al Reem Island):</w:t>
      </w:r>
      <w:r>
        <w:t xml:space="preserve"> </w:t>
      </w:r>
      <w:r>
        <w:t xml:space="preserve">A high-density mixed-use tower utilizing advanced HVAC integration and reflective cladding.</w:t>
      </w:r>
    </w:p>
    <w:p>
      <w:pPr>
        <w:numPr>
          <w:ilvl w:val="0"/>
          <w:numId w:val="1002"/>
        </w:numPr>
        <w:pStyle w:val="Compact"/>
      </w:pPr>
      <w:r>
        <w:rPr>
          <w:bCs/>
          <w:b/>
        </w:rPr>
        <w:t xml:space="preserve">Site C (Al Bateen):</w:t>
      </w:r>
      <w:r>
        <w:t xml:space="preserve"> </w:t>
      </w:r>
      <w:r>
        <w:t xml:space="preserve">A heritage-inspired structure incorporating traditional Islamic architectural geometry and passive cooling techniques.</w:t>
      </w:r>
    </w:p>
    <w:p>
      <w:pPr>
        <w:pStyle w:val="FirstParagraph"/>
      </w:pPr>
      <w:r>
        <w:t xml:space="preserve">All sites must comply with current Abu Dhabi building codes and safety regulations. The experiment will run for a duration of twelve months to capture seasonal variations, including the peak summer heat and the milder winter months.</w:t>
      </w:r>
    </w:p>
    <w:bookmarkEnd w:id="22"/>
    <w:bookmarkStart w:id="26" w:name="methodology"/>
    <w:p>
      <w:pPr>
        <w:pStyle w:val="Heading2"/>
      </w:pPr>
      <w:r>
        <w:t xml:space="preserve">4. Methodology</w:t>
      </w:r>
    </w:p>
    <w:bookmarkStart w:id="23" w:name="instrumentation-and-data-collection"/>
    <w:p>
      <w:pPr>
        <w:pStyle w:val="Heading3"/>
      </w:pPr>
      <w:r>
        <w:t xml:space="preserve">4.1. Instrumentation and Data Collection</w:t>
      </w:r>
    </w:p>
    <w:p>
      <w:pPr>
        <w:pStyle w:val="FirstParagraph"/>
      </w:pPr>
      <w:r>
        <w:t xml:space="preserve">To ensure accuracy, the Architect team will deploy a network of IoT-enabled sensors within each test site. These sensors will measure:</w:t>
      </w:r>
    </w:p>
    <w:p>
      <w:pPr>
        <w:numPr>
          <w:ilvl w:val="0"/>
          <w:numId w:val="1003"/>
        </w:numPr>
        <w:pStyle w:val="Compact"/>
      </w:pPr>
      <w:r>
        <w:t xml:space="preserve">Indoor and outdoor ambient temperatures.</w:t>
      </w:r>
    </w:p>
    <w:p>
      <w:pPr>
        <w:numPr>
          <w:ilvl w:val="0"/>
          <w:numId w:val="1003"/>
        </w:numPr>
        <w:pStyle w:val="Compact"/>
      </w:pPr>
      <w:r>
        <w:t xml:space="preserve">Relative humidity levels.</w:t>
      </w:r>
    </w:p>
    <w:p>
      <w:pPr>
        <w:numPr>
          <w:ilvl w:val="0"/>
          <w:numId w:val="1003"/>
        </w:numPr>
        <w:pStyle w:val="Compact"/>
      </w:pPr>
      <w:r>
        <w:t xml:space="preserve">Light intensity and solar gain.</w:t>
      </w:r>
    </w:p>
    <w:p>
      <w:pPr>
        <w:numPr>
          <w:ilvl w:val="0"/>
          <w:numId w:val="1003"/>
        </w:numPr>
        <w:pStyle w:val="Compact"/>
      </w:pPr>
      <w:r>
        <w:t xml:space="preserve">Real-time energy consumption (kWh) per square meter.</w:t>
      </w:r>
    </w:p>
    <w:p>
      <w:pPr>
        <w:numPr>
          <w:ilvl w:val="0"/>
          <w:numId w:val="1003"/>
        </w:numPr>
        <w:pStyle w:val="Compact"/>
      </w:pPr>
      <w:r>
        <w:t xml:space="preserve">CO2 levels and particulate matter (PM2.5) to assess ventilation efficiency.</w:t>
      </w:r>
    </w:p>
    <w:bookmarkEnd w:id="23"/>
    <w:bookmarkStart w:id="24" w:name="architectural-variables"/>
    <w:p>
      <w:pPr>
        <w:pStyle w:val="Heading3"/>
      </w:pPr>
      <w:r>
        <w:t xml:space="preserve">4.2. Architectural Variables</w:t>
      </w:r>
    </w:p>
    <w:p>
      <w:pPr>
        <w:pStyle w:val="FirstParagraph"/>
      </w:pPr>
      <w:r>
        <w:t xml:space="preserve">The experiment isolates specific architectural variables. For Site A, the variable is the glazing-to-wall ratio. For Site B, the variable is the facade reflectivity and smart shading automation. For Site C, the variable is the efficacy of passive airflow channels. The Architect is responsible for ensuring that no major structural modifications occur during the testing period that would skew the baseline data.</w:t>
      </w:r>
    </w:p>
    <w:bookmarkEnd w:id="24"/>
    <w:bookmarkStart w:id="25" w:name="occupant-feedback"/>
    <w:p>
      <w:pPr>
        <w:pStyle w:val="Heading3"/>
      </w:pPr>
      <w:r>
        <w:t xml:space="preserve">4.3. Occupant Feedback</w:t>
      </w:r>
    </w:p>
    <w:p>
      <w:pPr>
        <w:pStyle w:val="FirstParagraph"/>
      </w:pPr>
      <w:r>
        <w:t xml:space="preserve">Quantitative data will be supplemented by qualitative data. Occupants in all three sites will complete monthly surveys regarding thermal comfort, perceived air quality, and satisfaction with natural lighting. This human-centric approach is vital for understanding the practical application of architectural theory in Abu Dhabi.</w:t>
      </w:r>
    </w:p>
    <w:bookmarkEnd w:id="25"/>
    <w:bookmarkEnd w:id="26"/>
    <w:bookmarkStart w:id="27" w:name="safety-and-ethical-considerations"/>
    <w:p>
      <w:pPr>
        <w:pStyle w:val="Heading2"/>
      </w:pPr>
      <w:r>
        <w:t xml:space="preserve">5. Safety and Ethical Considerations</w:t>
      </w:r>
    </w:p>
    <w:p>
      <w:pPr>
        <w:pStyle w:val="FirstParagraph"/>
      </w:pPr>
      <w:r>
        <w:t xml:space="preserve">The safety of all participants and the structural integrity of the buildings are paramount. The experiment must adhere to the health and safety standards set by the Abu Dhabi Department of Municipalities and Transport (DMT).</w:t>
      </w:r>
    </w:p>
    <w:p>
      <w:pPr>
        <w:numPr>
          <w:ilvl w:val="0"/>
          <w:numId w:val="1004"/>
        </w:numPr>
        <w:pStyle w:val="Compact"/>
      </w:pPr>
      <w:r>
        <w:t xml:space="preserve">All sensor installations must be non-invasive and approved by the building management.</w:t>
      </w:r>
    </w:p>
    <w:p>
      <w:pPr>
        <w:numPr>
          <w:ilvl w:val="0"/>
          <w:numId w:val="1004"/>
        </w:numPr>
        <w:pStyle w:val="Compact"/>
      </w:pPr>
      <w:r>
        <w:t xml:space="preserve">Occupant data collected via surveys will be anonymized to protect privacy.</w:t>
      </w:r>
    </w:p>
    <w:p>
      <w:pPr>
        <w:numPr>
          <w:ilvl w:val="0"/>
          <w:numId w:val="1004"/>
        </w:numPr>
        <w:pStyle w:val="Compact"/>
      </w:pPr>
      <w:r>
        <w:t xml:space="preserve">In the event of extreme weather events, such as sandstorms or heatwaves exceeding 50°C, data collection protocols will be reviewed to ensure equipment safety.</w:t>
      </w:r>
    </w:p>
    <w:bookmarkEnd w:id="27"/>
    <w:bookmarkStart w:id="28" w:name="data-analysis-and-reporting"/>
    <w:p>
      <w:pPr>
        <w:pStyle w:val="Heading2"/>
      </w:pPr>
      <w:r>
        <w:t xml:space="preserve">6. Data Analysis and Reporting</w:t>
      </w:r>
    </w:p>
    <w:p>
      <w:pPr>
        <w:pStyle w:val="FirstParagraph"/>
      </w:pPr>
      <w:r>
        <w:t xml:space="preserve">Data will be aggregated weekly and analyzed by a panel of independent experts. The analysis will focus on identifying which architectural strategies offer the highest return on investment regarding energy savings and occupant comfort. The final report will be submitted to the Abu Dhabi Urban Planning Council and relevant stakeholders.</w:t>
      </w:r>
    </w:p>
    <w:p>
      <w:pPr>
        <w:pStyle w:val="BodyText"/>
      </w:pPr>
      <w:r>
        <w:t xml:space="preserve">The findings will aim to refine the guidelines for sustainable architecture in the UAE, ensuring that future developments in Abu Dhabi are not only aesthetically pleasing but also environmentally responsible and resilient against climate change.</w:t>
      </w:r>
    </w:p>
    <w:bookmarkEnd w:id="28"/>
    <w:bookmarkStart w:id="29" w:name="conclusion"/>
    <w:p>
      <w:pPr>
        <w:pStyle w:val="Heading2"/>
      </w:pPr>
      <w:r>
        <w:t xml:space="preserve">7. Conclusion</w:t>
      </w:r>
    </w:p>
    <w:p>
      <w:pPr>
        <w:pStyle w:val="FirstParagraph"/>
      </w:pPr>
      <w:r>
        <w:t xml:space="preserve">This Experiment Protocol serves as a critical framework for advancing the field of architecture in the United Arab Emirates. By rigorously testing design hypotheses in the real-world context of Abu Dhabi, we can move beyond theoretical models and establish empirical standards for sustainable building practices. The role of the Architect in this process is pivotal, requiring a balance of innovation, technical precision, and respect for the local environment.</w:t>
      </w:r>
    </w:p>
    <w:p>
      <w:pPr>
        <w:pStyle w:val="BodyText"/>
      </w:pPr>
      <w:r>
        <w:rPr>
          <w:bCs/>
          <w:b/>
        </w:rPr>
        <w:t xml:space="preserve">Disclaimer:</w:t>
      </w:r>
      <w:r>
        <w:t xml:space="preserve"> </w:t>
      </w:r>
      <w:r>
        <w:t xml:space="preserve">This document is a template for an experiment protocol. Actual implementation requires approval from relevant Abu Dhabi authorities, including the Department of Municipalities and Transport (DMT) and the Abu Dhabi Urban Planning Council (UPC). All safety regulations must be strictly followed.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Architectural Resilience in Abu Dhabi</dc:title>
  <dc:creator/>
  <dc:language>en</dc:language>
  <cp:keywords/>
  <dcterms:created xsi:type="dcterms:W3CDTF">2026-10-10T02:11:42Z</dcterms:created>
  <dcterms:modified xsi:type="dcterms:W3CDTF">2026-10-10T02:11:42Z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