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X84ff6d777016687cb32ed9a2c716f09016f2115"/>
    <w:p>
      <w:pPr>
        <w:pStyle w:val="Heading1"/>
      </w:pPr>
      <w:r>
        <w:t xml:space="preserve">Experiment Protocol: Baker Performance Evaluation in Australia Melbourne</w:t>
      </w:r>
    </w:p>
    <w:p>
      <w:pPr>
        <w:pStyle w:val="FirstParagraph"/>
      </w:pPr>
      <w:r>
        <w:rPr>
          <w:bCs/>
          <w:b/>
        </w:rPr>
        <w:t xml:space="preserve">Document ID:</w:t>
      </w:r>
      <w:r>
        <w:t xml:space="preserve"> </w:t>
      </w:r>
      <w:r>
        <w:t xml:space="preserve">EP-BKR-MEL-2024-001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Baker operating under the specific environmental and regulatory conditions of Australia Melbourne. The Baker, defined as an individual or automated system responsible for the preparation and baking of goods, will be assessed for efficiency, product quality, and compliance with local standards. Melbourne's unique climate, characterized by variable temperatures and humidity levels, presents specific challenges that must be accounted for in this evaluation.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Baker's ability to maintain consistent product quality under Melbourne's fluctuating environmental conditions.</w:t>
      </w:r>
    </w:p>
    <w:p>
      <w:pPr>
        <w:numPr>
          <w:ilvl w:val="0"/>
          <w:numId w:val="1001"/>
        </w:numPr>
        <w:pStyle w:val="Compact"/>
      </w:pPr>
      <w:r>
        <w:t xml:space="preserve">To evaluate the Baker's adherence to Australia's food safety and hygiene regulations.</w:t>
      </w:r>
    </w:p>
    <w:p>
      <w:pPr>
        <w:numPr>
          <w:ilvl w:val="0"/>
          <w:numId w:val="1001"/>
        </w:numPr>
        <w:pStyle w:val="Compact"/>
      </w:pPr>
      <w:r>
        <w:t xml:space="preserve">To measure the efficiency of the Baker in terms of time management and resource utilization.</w:t>
      </w:r>
    </w:p>
    <w:p>
      <w:pPr>
        <w:numPr>
          <w:ilvl w:val="0"/>
          <w:numId w:val="1001"/>
        </w:numPr>
        <w:pStyle w:val="Compact"/>
      </w:pPr>
      <w:r>
        <w:t xml:space="preserve">To identify any necessary adjustments or training requirements for the Baker to optimize performance in this region.</w:t>
      </w:r>
    </w:p>
    <w:bookmarkEnd w:id="22"/>
    <w:bookmarkStart w:id="23" w:name="scope"/>
    <w:p>
      <w:pPr>
        <w:pStyle w:val="Heading2"/>
      </w:pPr>
      <w:r>
        <w:t xml:space="preserve">3. Scope</w:t>
      </w:r>
    </w:p>
    <w:p>
      <w:pPr>
        <w:pStyle w:val="FirstParagraph"/>
      </w:pPr>
      <w:r>
        <w:t xml:space="preserve">This protocol applies to all Bakers operating within commercial and industrial settings in Australia Melbourne. It covers the preparation, baking, and post-baking processes of standard bakery products, including bread, pastries, and cakes. The experiment will be conducted over a period of four weeks to account for seasonal variations in Melbourne's climate.</w:t>
      </w:r>
    </w:p>
    <w:bookmarkEnd w:id="23"/>
    <w:bookmarkStart w:id="28" w:name="methodology"/>
    <w:p>
      <w:pPr>
        <w:pStyle w:val="Heading2"/>
      </w:pPr>
      <w:r>
        <w:t xml:space="preserve">4. Methodology</w:t>
      </w:r>
    </w:p>
    <w:bookmarkStart w:id="24" w:name="environmental-monitoring"/>
    <w:p>
      <w:pPr>
        <w:pStyle w:val="Heading3"/>
      </w:pPr>
      <w:r>
        <w:t xml:space="preserve">4.1 Environmental Monitoring</w:t>
      </w:r>
    </w:p>
    <w:p>
      <w:pPr>
        <w:pStyle w:val="FirstParagraph"/>
      </w:pPr>
      <w:r>
        <w:t xml:space="preserve">Given Melbourne's reputation for unpredictable weather, continuous monitoring of temperature and humidity levels in the baking environment is essential. Sensors will be installed to record data at hourly intervals. This data will be correlated with product quality metrics to determine the impact of environmental conditions on the Baker's performance.</w:t>
      </w:r>
    </w:p>
    <w:p>
      <w:pPr>
        <w:pStyle w:val="BodyText"/>
      </w:pPr>
      <w:r>
        <w:rPr>
          <w:bCs/>
          <w:b/>
        </w:rPr>
        <w:t xml:space="preserve">Note:</w:t>
      </w:r>
      <w:r>
        <w:t xml:space="preserve"> </w:t>
      </w:r>
      <w:r>
        <w:t xml:space="preserve">Melbourne's average humidity ranges from 50% to 70%, which can significantly affect dough hydration and baking times.</w:t>
      </w:r>
    </w:p>
    <w:bookmarkEnd w:id="24"/>
    <w:bookmarkStart w:id="25" w:name="product-quality-assessment"/>
    <w:p>
      <w:pPr>
        <w:pStyle w:val="Heading3"/>
      </w:pPr>
      <w:r>
        <w:t xml:space="preserve">4.2 Product Quality Assessment</w:t>
      </w:r>
    </w:p>
    <w:p>
      <w:pPr>
        <w:pStyle w:val="FirstParagraph"/>
      </w:pPr>
      <w:r>
        <w:t xml:space="preserve">Product quality will be evaluated based on the following criteria:</w:t>
      </w:r>
    </w:p>
    <w:p>
      <w:pPr>
        <w:numPr>
          <w:ilvl w:val="0"/>
          <w:numId w:val="1002"/>
        </w:numPr>
        <w:pStyle w:val="Compact"/>
      </w:pPr>
      <w:r>
        <w:rPr>
          <w:bCs/>
          <w:b/>
        </w:rPr>
        <w:t xml:space="preserve">Appearance:</w:t>
      </w:r>
      <w:r>
        <w:t xml:space="preserve"> </w:t>
      </w:r>
      <w:r>
        <w:t xml:space="preserve">Color, shape, and surface texture.</w:t>
      </w:r>
    </w:p>
    <w:p>
      <w:pPr>
        <w:numPr>
          <w:ilvl w:val="0"/>
          <w:numId w:val="1002"/>
        </w:numPr>
        <w:pStyle w:val="Compact"/>
      </w:pPr>
      <w:r>
        <w:rPr>
          <w:bCs/>
          <w:b/>
        </w:rPr>
        <w:t xml:space="preserve">Texture:</w:t>
      </w:r>
      <w:r>
        <w:t xml:space="preserve"> </w:t>
      </w:r>
      <w:r>
        <w:t xml:space="preserve">Crust and crumb structure.</w:t>
      </w:r>
    </w:p>
    <w:p>
      <w:pPr>
        <w:numPr>
          <w:ilvl w:val="0"/>
          <w:numId w:val="1002"/>
        </w:numPr>
        <w:pStyle w:val="Compact"/>
      </w:pPr>
      <w:r>
        <w:rPr>
          <w:bCs/>
          <w:b/>
        </w:rPr>
        <w:t xml:space="preserve">Flavor:</w:t>
      </w:r>
      <w:r>
        <w:t xml:space="preserve"> </w:t>
      </w:r>
      <w:r>
        <w:t xml:space="preserve">Taste and aroma.</w:t>
      </w:r>
    </w:p>
    <w:p>
      <w:pPr>
        <w:numPr>
          <w:ilvl w:val="0"/>
          <w:numId w:val="1002"/>
        </w:numPr>
        <w:pStyle w:val="Compact"/>
      </w:pPr>
      <w:r>
        <w:rPr>
          <w:bCs/>
          <w:b/>
        </w:rPr>
        <w:t xml:space="preserve">Shelf Life:</w:t>
      </w:r>
      <w:r>
        <w:t xml:space="preserve"> </w:t>
      </w:r>
      <w:r>
        <w:t xml:space="preserve">Durability and freshness retention.</w:t>
      </w:r>
    </w:p>
    <w:p>
      <w:pPr>
        <w:pStyle w:val="FirstParagraph"/>
      </w:pPr>
      <w:r>
        <w:t xml:space="preserve">Each product will be scored by a panel of certified evaluators using a standardized rubric.</w:t>
      </w:r>
    </w:p>
    <w:bookmarkEnd w:id="25"/>
    <w:bookmarkStart w:id="26" w:name="compliance-with-regulations"/>
    <w:p>
      <w:pPr>
        <w:pStyle w:val="Heading3"/>
      </w:pPr>
      <w:r>
        <w:t xml:space="preserve">4.3 Compliance with Regulations</w:t>
      </w:r>
    </w:p>
    <w:p>
      <w:pPr>
        <w:pStyle w:val="FirstParagraph"/>
      </w:pPr>
      <w:r>
        <w:t xml:space="preserve">The Baker's adherence to Australia's food safety standards, including those set by Food Standards Australia New Zealand (FSANZ), will be rigorously monitored. This includes checks on hygiene practices, ingredient sourcing, and labeling accuracy.</w:t>
      </w:r>
    </w:p>
    <w:bookmarkEnd w:id="26"/>
    <w:bookmarkStart w:id="27" w:name="efficiency-metrics"/>
    <w:p>
      <w:pPr>
        <w:pStyle w:val="Heading3"/>
      </w:pPr>
      <w:r>
        <w:t xml:space="preserve">4.4 Efficiency Metrics</w:t>
      </w:r>
    </w:p>
    <w:p>
      <w:pPr>
        <w:pStyle w:val="FirstParagraph"/>
      </w:pPr>
      <w:r>
        <w:t xml:space="preserve">Efficiency will be measured by tracking the time taken to complete each batch, the amount of raw materials used, and the energy consumption of baking equipment. These metrics will be compared against industry benchmarks for Australia Melbourne.</w:t>
      </w:r>
    </w:p>
    <w:bookmarkEnd w:id="27"/>
    <w:bookmarkEnd w:id="28"/>
    <w:bookmarkStart w:id="32" w:name="experimental-setup"/>
    <w:p>
      <w:pPr>
        <w:pStyle w:val="Heading2"/>
      </w:pPr>
      <w:r>
        <w:t xml:space="preserve">5. Experimental Setup</w:t>
      </w:r>
    </w:p>
    <w:bookmarkStart w:id="29" w:name="location"/>
    <w:p>
      <w:pPr>
        <w:pStyle w:val="Heading3"/>
      </w:pPr>
      <w:r>
        <w:t xml:space="preserve">5.1 Location</w:t>
      </w:r>
    </w:p>
    <w:p>
      <w:pPr>
        <w:pStyle w:val="FirstParagraph"/>
      </w:pPr>
      <w:r>
        <w:t xml:space="preserve">The experiment will be conducted in a commercial bakery located in the heart of Australia Melbourne. The facility will be equipped with state-of-the-art baking equipment and environmental control systems.</w:t>
      </w:r>
    </w:p>
    <w:bookmarkEnd w:id="29"/>
    <w:bookmarkStart w:id="30" w:name="participants"/>
    <w:p>
      <w:pPr>
        <w:pStyle w:val="Heading3"/>
      </w:pPr>
      <w:r>
        <w:t xml:space="preserve">5.2 Participants</w:t>
      </w:r>
    </w:p>
    <w:p>
      <w:pPr>
        <w:pStyle w:val="FirstParagraph"/>
      </w:pPr>
      <w:r>
        <w:t xml:space="preserve">The Baker(s) involved in this experiment will be selected based on their experience and familiarity with local baking practices. Each Baker will undergo a brief orientation to ensure understanding of the protocol requirements.</w:t>
      </w:r>
    </w:p>
    <w:bookmarkEnd w:id="30"/>
    <w:bookmarkStart w:id="31" w:name="equipment-and-materials"/>
    <w:p>
      <w:pPr>
        <w:pStyle w:val="Heading3"/>
      </w:pPr>
      <w:r>
        <w:t xml:space="preserve">5.3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Ovens</w:t>
            </w:r>
          </w:p>
        </w:tc>
        <w:tc>
          <w:tcPr/>
          <w:p>
            <w:pPr>
              <w:pStyle w:val="Compact"/>
              <w:jc w:val="left"/>
            </w:pPr>
            <w:r>
              <w:t xml:space="preserve">Industrial-grade, programmable temperature controls</w:t>
            </w:r>
          </w:p>
        </w:tc>
      </w:tr>
      <w:tr>
        <w:tc>
          <w:tcPr/>
          <w:p>
            <w:pPr>
              <w:pStyle w:val="Compact"/>
              <w:jc w:val="left"/>
            </w:pPr>
            <w:r>
              <w:t xml:space="preserve">Mixers</w:t>
            </w:r>
          </w:p>
        </w:tc>
        <w:tc>
          <w:tcPr/>
          <w:p>
            <w:pPr>
              <w:pStyle w:val="Compact"/>
              <w:jc w:val="left"/>
            </w:pPr>
            <w:r>
              <w:t xml:space="preserve">High-capacity, variable speed settings</w:t>
            </w:r>
          </w:p>
        </w:tc>
      </w:tr>
      <w:tr>
        <w:tc>
          <w:tcPr/>
          <w:p>
            <w:pPr>
              <w:pStyle w:val="Compact"/>
              <w:jc w:val="left"/>
            </w:pPr>
            <w:r>
              <w:t xml:space="preserve">Ingredients</w:t>
            </w:r>
          </w:p>
        </w:tc>
        <w:tc>
          <w:tcPr/>
          <w:p>
            <w:pPr>
              <w:pStyle w:val="Compact"/>
              <w:jc w:val="left"/>
            </w:pPr>
            <w:r>
              <w:t xml:space="preserve">Sourced from approved suppliers in Australia</w:t>
            </w:r>
          </w:p>
        </w:tc>
      </w:tr>
      <w:tr>
        <w:tc>
          <w:tcPr/>
          <w:p>
            <w:pPr>
              <w:pStyle w:val="Compact"/>
              <w:jc w:val="left"/>
            </w:pPr>
            <w:r>
              <w:t xml:space="preserve">Sensors</w:t>
            </w:r>
          </w:p>
        </w:tc>
        <w:tc>
          <w:tcPr/>
          <w:p>
            <w:pPr>
              <w:pStyle w:val="Compact"/>
              <w:jc w:val="left"/>
            </w:pPr>
            <w:r>
              <w:t xml:space="preserve">Temperature and humidity monitoring devices</w:t>
            </w:r>
          </w:p>
        </w:tc>
      </w:tr>
    </w:tbl>
    <w:bookmarkEnd w:id="31"/>
    <w:bookmarkEnd w:id="32"/>
    <w:bookmarkStart w:id="33" w:name="data-collection-and-analysis"/>
    <w:p>
      <w:pPr>
        <w:pStyle w:val="Heading2"/>
      </w:pPr>
      <w:r>
        <w:t xml:space="preserve">6. Data Collection and Analysis</w:t>
      </w:r>
    </w:p>
    <w:p>
      <w:pPr>
        <w:pStyle w:val="FirstParagraph"/>
      </w:pPr>
      <w:r>
        <w:t xml:space="preserve">Data will be collected daily and compiled into a comprehensive report at the end of the experiment. Statistical analysis will be performed to identify trends and correlations between environmental conditions, Baker performance, and product quality. Any deviations from expected outcomes will be investigated and documented.</w:t>
      </w:r>
    </w:p>
    <w:bookmarkEnd w:id="33"/>
    <w:bookmarkStart w:id="34" w:name="safety-and-ethical-considerations"/>
    <w:p>
      <w:pPr>
        <w:pStyle w:val="Heading2"/>
      </w:pPr>
      <w:r>
        <w:t xml:space="preserve">7. Safety and Ethical Considerations</w:t>
      </w:r>
    </w:p>
    <w:p>
      <w:pPr>
        <w:pStyle w:val="FirstParagraph"/>
      </w:pPr>
      <w:r>
        <w:t xml:space="preserve">All participants will be required to adhere to strict safety protocols, including the use of personal protective equipment (PPE) and adherence to workplace health and safety regulations in Australia Melbourne. Ethical considerations include ensuring fair treatment of all Bakers and maintaining confidentiality of proprietary information.</w:t>
      </w:r>
    </w:p>
    <w:bookmarkEnd w:id="34"/>
    <w:bookmarkStart w:id="35" w:name="conclusion"/>
    <w:p>
      <w:pPr>
        <w:pStyle w:val="Heading2"/>
      </w:pPr>
      <w:r>
        <w:t xml:space="preserve">8. Conclusion</w:t>
      </w:r>
    </w:p>
    <w:p>
      <w:pPr>
        <w:pStyle w:val="FirstParagraph"/>
      </w:pPr>
      <w:r>
        <w:t xml:space="preserve">This Experiment Protocol provides a structured approach to evaluating the performance of a Baker in the unique context of Australia Melbourne. By addressing the specific challenges posed by the local environment and regulatory landscape, this study aims to enhance the quality and efficiency of baking operations in the region. The findings will contribute to best practices and inform future training and operational improvements for Bakers in Australia Melbourne.</w:t>
      </w:r>
    </w:p>
    <w:bookmarkEnd w:id="35"/>
    <w:bookmarkStart w:id="36" w:name="references"/>
    <w:p>
      <w:pPr>
        <w:pStyle w:val="Heading2"/>
      </w:pPr>
      <w:r>
        <w:t xml:space="preserve">9. References</w:t>
      </w:r>
    </w:p>
    <w:p>
      <w:pPr>
        <w:numPr>
          <w:ilvl w:val="0"/>
          <w:numId w:val="1003"/>
        </w:numPr>
        <w:pStyle w:val="Compact"/>
      </w:pPr>
      <w:r>
        <w:t xml:space="preserve">Food Standards Australia New Zealand (FSANZ). (2024). Australia New Zealand Food Standards Code.</w:t>
      </w:r>
    </w:p>
    <w:p>
      <w:pPr>
        <w:numPr>
          <w:ilvl w:val="0"/>
          <w:numId w:val="1003"/>
        </w:numPr>
        <w:pStyle w:val="Compact"/>
      </w:pPr>
      <w:r>
        <w:t xml:space="preserve">Melbourne City Council. (2024). Environmental Guidelines for Commercial Kitchens.</w:t>
      </w:r>
    </w:p>
    <w:p>
      <w:pPr>
        <w:numPr>
          <w:ilvl w:val="0"/>
          <w:numId w:val="1003"/>
        </w:numPr>
        <w:pStyle w:val="Compact"/>
      </w:pPr>
      <w:r>
        <w:t xml:space="preserve">Australian Bureau of Statistics. (2024). Climate Data for Melbourne.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Australia Melbourne</dc:title>
  <dc:creator/>
  <dc:language>en</dc:language>
  <cp:keywords/>
  <dcterms:created xsi:type="dcterms:W3CDTF">2026-10-10T01:40:03Z</dcterms:created>
  <dcterms:modified xsi:type="dcterms:W3CDTF">2026-10-10T01:40:03Z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