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Canada</w:t>
      </w:r>
      <w:r>
        <w:t xml:space="preserve"> </w:t>
      </w:r>
      <w:r>
        <w:t xml:space="preserve">Montreal</w:t>
      </w:r>
    </w:p>
    <w:bookmarkStart w:id="20" w:name="experiment-protocol-baker"/>
    <w:p>
      <w:pPr>
        <w:pStyle w:val="Heading1"/>
      </w:pPr>
      <w:r>
        <w:t xml:space="preserve">Experiment Protocol: Baker</w:t>
      </w:r>
    </w:p>
    <w:p>
      <w:pPr>
        <w:pStyle w:val="FirstParagraph"/>
      </w:pPr>
      <w:r>
        <w:rPr>
          <w:bCs/>
          <w:b/>
        </w:rPr>
        <w:t xml:space="preserve">Location:</w:t>
      </w:r>
      <w:r>
        <w:t xml:space="preserve"> </w:t>
      </w:r>
      <w:r>
        <w:t xml:space="preserve">Canada Montreal</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efficiency, and quality output of the Baker system within the specific environmental and regulatory context of Canada Montreal. The primary objective is to assess how the Baker performs under local conditions, including temperature, humidity, and ingredient sourcing typical of the Montreal region.</w:t>
      </w:r>
    </w:p>
    <w:p>
      <w:pPr>
        <w:pStyle w:val="BodyText"/>
      </w:pPr>
      <w:r>
        <w:t xml:space="preserve">The Baker is designed to automate and optimize baking processes. This protocol ensures that all tests are conducted systematically, safely, and in compliance with Canadian food safety standards.</w:t>
      </w:r>
    </w:p>
    <w:bookmarkEnd w:id="21"/>
    <w:bookmarkStart w:id="22" w:name="scope"/>
    <w:p>
      <w:pPr>
        <w:pStyle w:val="Heading2"/>
      </w:pPr>
      <w:r>
        <w:t xml:space="preserve">2. Scope</w:t>
      </w:r>
    </w:p>
    <w:p>
      <w:pPr>
        <w:pStyle w:val="FirstParagraph"/>
      </w:pPr>
      <w:r>
        <w:t xml:space="preserve">This protocol applies to all personnel involved in the testing of the Baker in Canada Montreal. It covers:</w:t>
      </w:r>
    </w:p>
    <w:p>
      <w:pPr>
        <w:numPr>
          <w:ilvl w:val="0"/>
          <w:numId w:val="1001"/>
        </w:numPr>
        <w:pStyle w:val="Compact"/>
      </w:pPr>
      <w:r>
        <w:t xml:space="preserve">Preparation and calibration of the Baker.</w:t>
      </w:r>
    </w:p>
    <w:p>
      <w:pPr>
        <w:numPr>
          <w:ilvl w:val="0"/>
          <w:numId w:val="1001"/>
        </w:numPr>
        <w:pStyle w:val="Compact"/>
      </w:pPr>
      <w:r>
        <w:t xml:space="preserve">Execution of baking trials using standardized recipes.</w:t>
      </w:r>
    </w:p>
    <w:p>
      <w:pPr>
        <w:numPr>
          <w:ilvl w:val="0"/>
          <w:numId w:val="1001"/>
        </w:numPr>
        <w:pStyle w:val="Compact"/>
      </w:pPr>
      <w:r>
        <w:t xml:space="preserve">Monitoring of environmental conditions in Canada Montreal.</w:t>
      </w:r>
    </w:p>
    <w:p>
      <w:pPr>
        <w:numPr>
          <w:ilvl w:val="0"/>
          <w:numId w:val="1001"/>
        </w:numPr>
        <w:pStyle w:val="Compact"/>
      </w:pPr>
      <w:r>
        <w:t xml:space="preserve">Collection and analysis of performance data.</w:t>
      </w:r>
    </w:p>
    <w:p>
      <w:pPr>
        <w:numPr>
          <w:ilvl w:val="0"/>
          <w:numId w:val="1001"/>
        </w:numPr>
        <w:pStyle w:val="Compact"/>
      </w:pPr>
      <w:r>
        <w:t xml:space="preserve">Documentation of results and safety incidents.</w:t>
      </w:r>
    </w:p>
    <w:bookmarkEnd w:id="22"/>
    <w:bookmarkStart w:id="23" w:name="regulatory-and-safety-compliance"/>
    <w:p>
      <w:pPr>
        <w:pStyle w:val="Heading2"/>
      </w:pPr>
      <w:r>
        <w:t xml:space="preserve">3. Regulatory and Safety Compliance</w:t>
      </w:r>
    </w:p>
    <w:p>
      <w:pPr>
        <w:pStyle w:val="FirstParagraph"/>
      </w:pPr>
      <w:r>
        <w:t xml:space="preserve">All activities must comply with:</w:t>
      </w:r>
    </w:p>
    <w:p>
      <w:pPr>
        <w:numPr>
          <w:ilvl w:val="0"/>
          <w:numId w:val="1002"/>
        </w:numPr>
        <w:pStyle w:val="Compact"/>
      </w:pPr>
      <w:r>
        <w:t xml:space="preserve">Canadian Food Inspection Agency (CFIA) regulations.</w:t>
      </w:r>
    </w:p>
    <w:p>
      <w:pPr>
        <w:numPr>
          <w:ilvl w:val="0"/>
          <w:numId w:val="1002"/>
        </w:numPr>
        <w:pStyle w:val="Compact"/>
      </w:pPr>
      <w:r>
        <w:t xml:space="preserve">Quebec provincial health and safety standards.</w:t>
      </w:r>
    </w:p>
    <w:p>
      <w:pPr>
        <w:numPr>
          <w:ilvl w:val="0"/>
          <w:numId w:val="1002"/>
        </w:numPr>
        <w:pStyle w:val="Compact"/>
      </w:pPr>
      <w:r>
        <w:t xml:space="preserve">Montreal municipal bylaws regarding commercial kitchen operations.</w:t>
      </w:r>
    </w:p>
    <w:p>
      <w:pPr>
        <w:pStyle w:val="FirstParagraph"/>
      </w:pPr>
      <w:r>
        <w:rPr>
          <w:bCs/>
          <w:b/>
        </w:rPr>
        <w:t xml:space="preserve">Note:</w:t>
      </w:r>
      <w:r>
        <w:t xml:space="preserve"> </w:t>
      </w:r>
      <w:r>
        <w:t xml:space="preserve">Personnel must wear appropriate personal protective equipment (PPE) at all times, including heat-resistant gloves, aprons, and closed-toe shoes.</w:t>
      </w:r>
    </w:p>
    <w:bookmarkEnd w:id="23"/>
    <w:bookmarkStart w:id="26" w:name="equipment-and-materials"/>
    <w:p>
      <w:pPr>
        <w:pStyle w:val="Heading2"/>
      </w:pPr>
      <w:r>
        <w:t xml:space="preserve">4. Equipment and Materials</w:t>
      </w:r>
    </w:p>
    <w:bookmarkStart w:id="24" w:name="primary-equipment"/>
    <w:p>
      <w:pPr>
        <w:pStyle w:val="Heading3"/>
      </w:pPr>
      <w:r>
        <w:t xml:space="preserve">4.1 Primary Equipment</w:t>
      </w:r>
    </w:p>
    <w:p>
      <w:pPr>
        <w:numPr>
          <w:ilvl w:val="0"/>
          <w:numId w:val="1003"/>
        </w:numPr>
        <w:pStyle w:val="Compact"/>
      </w:pPr>
      <w:r>
        <w:t xml:space="preserve">Baker unit (model and serial number to be recorded).</w:t>
      </w:r>
    </w:p>
    <w:p>
      <w:pPr>
        <w:numPr>
          <w:ilvl w:val="0"/>
          <w:numId w:val="1003"/>
        </w:numPr>
        <w:pStyle w:val="Compact"/>
      </w:pPr>
      <w:r>
        <w:t xml:space="preserve">Digital thermometer and hygrometer.</w:t>
      </w:r>
    </w:p>
    <w:p>
      <w:pPr>
        <w:numPr>
          <w:ilvl w:val="0"/>
          <w:numId w:val="1003"/>
        </w:numPr>
        <w:pStyle w:val="Compact"/>
      </w:pPr>
      <w:r>
        <w:t xml:space="preserve">Precision scale (accuracy to 0.1g).</w:t>
      </w:r>
    </w:p>
    <w:p>
      <w:pPr>
        <w:numPr>
          <w:ilvl w:val="0"/>
          <w:numId w:val="1003"/>
        </w:numPr>
        <w:pStyle w:val="Compact"/>
      </w:pPr>
      <w:r>
        <w:t xml:space="preserve">Timer and data logging software.</w:t>
      </w:r>
    </w:p>
    <w:bookmarkEnd w:id="24"/>
    <w:bookmarkStart w:id="25" w:name="ingredients"/>
    <w:p>
      <w:pPr>
        <w:pStyle w:val="Heading3"/>
      </w:pPr>
      <w:r>
        <w:t xml:space="preserve">4.2 Ingredients</w:t>
      </w:r>
    </w:p>
    <w:p>
      <w:pPr>
        <w:pStyle w:val="FirstParagraph"/>
      </w:pPr>
      <w:r>
        <w:t xml:space="preserve">Ingredients must be sourced from suppliers approved for use in Canada Montreal. Standardized batches of flour, yeast, sugar, salt, and water will be used to ensure consistency.</w:t>
      </w:r>
    </w:p>
    <w:bookmarkEnd w:id="25"/>
    <w:bookmarkEnd w:id="26"/>
    <w:bookmarkStart w:id="27" w:name="environmental-conditions"/>
    <w:p>
      <w:pPr>
        <w:pStyle w:val="Heading2"/>
      </w:pPr>
      <w:r>
        <w:t xml:space="preserve">5. Environmental Conditions</w:t>
      </w:r>
    </w:p>
    <w:p>
      <w:pPr>
        <w:pStyle w:val="FirstParagraph"/>
      </w:pPr>
      <w:r>
        <w:t xml:space="preserve">Given the climate of Canada Montreal, environmental factors such as temperature and humidity can significantly affect baking outcomes. The following conditions must be monitored and recorded:</w:t>
      </w:r>
    </w:p>
    <w:p>
      <w:pPr>
        <w:numPr>
          <w:ilvl w:val="0"/>
          <w:numId w:val="1004"/>
        </w:numPr>
        <w:pStyle w:val="Compact"/>
      </w:pPr>
      <w:r>
        <w:t xml:space="preserve">Ambient temperature: Target range 18°C to 22°C.</w:t>
      </w:r>
    </w:p>
    <w:p>
      <w:pPr>
        <w:numPr>
          <w:ilvl w:val="0"/>
          <w:numId w:val="1004"/>
        </w:numPr>
        <w:pStyle w:val="Compact"/>
      </w:pPr>
      <w:r>
        <w:t xml:space="preserve">Relative humidity: Target range 40% to 60%.</w:t>
      </w:r>
    </w:p>
    <w:p>
      <w:pPr>
        <w:numPr>
          <w:ilvl w:val="0"/>
          <w:numId w:val="1004"/>
        </w:numPr>
        <w:pStyle w:val="Compact"/>
      </w:pPr>
      <w:r>
        <w:t xml:space="preserve">Any deviations must be noted and considered during data analysis.</w:t>
      </w:r>
    </w:p>
    <w:bookmarkEnd w:id="27"/>
    <w:bookmarkStart w:id="31" w:name="procedure"/>
    <w:p>
      <w:pPr>
        <w:pStyle w:val="Heading2"/>
      </w:pPr>
      <w:r>
        <w:t xml:space="preserve">6. Procedure</w:t>
      </w:r>
    </w:p>
    <w:bookmarkStart w:id="28" w:name="preparation"/>
    <w:p>
      <w:pPr>
        <w:pStyle w:val="Heading3"/>
      </w:pPr>
      <w:r>
        <w:t xml:space="preserve">6.1 Preparation</w:t>
      </w:r>
    </w:p>
    <w:p>
      <w:pPr>
        <w:numPr>
          <w:ilvl w:val="0"/>
          <w:numId w:val="1005"/>
        </w:numPr>
        <w:pStyle w:val="Compact"/>
      </w:pPr>
      <w:r>
        <w:t xml:space="preserve">Inspect the Baker for any visible damage or malfunction.</w:t>
      </w:r>
    </w:p>
    <w:p>
      <w:pPr>
        <w:numPr>
          <w:ilvl w:val="0"/>
          <w:numId w:val="1005"/>
        </w:numPr>
        <w:pStyle w:val="Compact"/>
      </w:pPr>
      <w:r>
        <w:t xml:space="preserve">Calibrate all sensors and instruments according to manufacturer specifications.</w:t>
      </w:r>
    </w:p>
    <w:p>
      <w:pPr>
        <w:numPr>
          <w:ilvl w:val="0"/>
          <w:numId w:val="1005"/>
        </w:numPr>
        <w:pStyle w:val="Compact"/>
      </w:pPr>
      <w:r>
        <w:t xml:space="preserve">Ensure the testing area in Canada Montreal is clean and organized.</w:t>
      </w:r>
    </w:p>
    <w:bookmarkEnd w:id="28"/>
    <w:bookmarkStart w:id="29" w:name="execution"/>
    <w:p>
      <w:pPr>
        <w:pStyle w:val="Heading3"/>
      </w:pPr>
      <w:r>
        <w:t xml:space="preserve">6.2 Execution</w:t>
      </w:r>
    </w:p>
    <w:p>
      <w:pPr>
        <w:numPr>
          <w:ilvl w:val="0"/>
          <w:numId w:val="1006"/>
        </w:numPr>
        <w:pStyle w:val="Compact"/>
      </w:pPr>
      <w:r>
        <w:t xml:space="preserve">Load ingredients into the Baker following the standardized recipe.</w:t>
      </w:r>
    </w:p>
    <w:p>
      <w:pPr>
        <w:numPr>
          <w:ilvl w:val="0"/>
          <w:numId w:val="1006"/>
        </w:numPr>
        <w:pStyle w:val="Compact"/>
      </w:pPr>
      <w:r>
        <w:t xml:space="preserve">Set the Baker to the predefined program parameters.</w:t>
      </w:r>
    </w:p>
    <w:p>
      <w:pPr>
        <w:numPr>
          <w:ilvl w:val="0"/>
          <w:numId w:val="1006"/>
        </w:numPr>
        <w:pStyle w:val="Compact"/>
      </w:pPr>
      <w:r>
        <w:t xml:space="preserve">Start the baking cycle and begin data logging.</w:t>
      </w:r>
    </w:p>
    <w:p>
      <w:pPr>
        <w:numPr>
          <w:ilvl w:val="0"/>
          <w:numId w:val="1006"/>
        </w:numPr>
        <w:pStyle w:val="Compact"/>
      </w:pPr>
      <w:r>
        <w:t xml:space="preserve">Monitor the process at regular intervals (every 10 minutes).</w:t>
      </w:r>
    </w:p>
    <w:p>
      <w:pPr>
        <w:numPr>
          <w:ilvl w:val="0"/>
          <w:numId w:val="1006"/>
        </w:numPr>
        <w:pStyle w:val="Compact"/>
      </w:pPr>
      <w:r>
        <w:t xml:space="preserve">Record temperature, humidity, and any anomalies.</w:t>
      </w:r>
    </w:p>
    <w:bookmarkEnd w:id="29"/>
    <w:bookmarkStart w:id="30" w:name="post-baking"/>
    <w:p>
      <w:pPr>
        <w:pStyle w:val="Heading3"/>
      </w:pPr>
      <w:r>
        <w:t xml:space="preserve">6.3 Post-Baking</w:t>
      </w:r>
    </w:p>
    <w:p>
      <w:pPr>
        <w:numPr>
          <w:ilvl w:val="0"/>
          <w:numId w:val="1007"/>
        </w:numPr>
        <w:pStyle w:val="Compact"/>
      </w:pPr>
      <w:r>
        <w:t xml:space="preserve">Allow baked goods to cool to room temperature.</w:t>
      </w:r>
    </w:p>
    <w:p>
      <w:pPr>
        <w:numPr>
          <w:ilvl w:val="0"/>
          <w:numId w:val="1007"/>
        </w:numPr>
        <w:pStyle w:val="Compact"/>
      </w:pPr>
      <w:r>
        <w:t xml:space="preserve">Conduct sensory evaluation (appearance, texture, taste).</w:t>
      </w:r>
    </w:p>
    <w:p>
      <w:pPr>
        <w:numPr>
          <w:ilvl w:val="0"/>
          <w:numId w:val="1007"/>
        </w:numPr>
        <w:pStyle w:val="Compact"/>
      </w:pPr>
      <w:r>
        <w:t xml:space="preserve">Measure weight, volume, and crumb structure.</w:t>
      </w:r>
    </w:p>
    <w:p>
      <w:pPr>
        <w:numPr>
          <w:ilvl w:val="0"/>
          <w:numId w:val="1007"/>
        </w:numPr>
        <w:pStyle w:val="Compact"/>
      </w:pPr>
      <w:r>
        <w:t xml:space="preserve">Document all observations.</w:t>
      </w:r>
    </w:p>
    <w:bookmarkEnd w:id="30"/>
    <w:bookmarkEnd w:id="31"/>
    <w:bookmarkStart w:id="32" w:name="data-collection-and-analysis"/>
    <w:p>
      <w:pPr>
        <w:pStyle w:val="Heading2"/>
      </w:pPr>
      <w:r>
        <w:t xml:space="preserve">7. Data Collection and Analysis</w:t>
      </w:r>
    </w:p>
    <w:p>
      <w:pPr>
        <w:pStyle w:val="FirstParagraph"/>
      </w:pPr>
      <w:r>
        <w:t xml:space="preserve">All data must be recorded in the provided log sheets or digital system. Key metrics include:</w:t>
      </w:r>
    </w:p>
    <w:p>
      <w:pPr>
        <w:numPr>
          <w:ilvl w:val="0"/>
          <w:numId w:val="1008"/>
        </w:numPr>
        <w:pStyle w:val="Compact"/>
      </w:pPr>
      <w:r>
        <w:t xml:space="preserve">Baking time and temperature profiles.</w:t>
      </w:r>
    </w:p>
    <w:p>
      <w:pPr>
        <w:numPr>
          <w:ilvl w:val="0"/>
          <w:numId w:val="1008"/>
        </w:numPr>
        <w:pStyle w:val="Compact"/>
      </w:pPr>
      <w:r>
        <w:t xml:space="preserve">Energy consumption.</w:t>
      </w:r>
    </w:p>
    <w:p>
      <w:pPr>
        <w:numPr>
          <w:ilvl w:val="0"/>
          <w:numId w:val="1008"/>
        </w:numPr>
        <w:pStyle w:val="Compact"/>
      </w:pPr>
      <w:r>
        <w:t xml:space="preserve">Quality scores based on standardized criteria.</w:t>
      </w:r>
    </w:p>
    <w:p>
      <w:pPr>
        <w:numPr>
          <w:ilvl w:val="0"/>
          <w:numId w:val="1008"/>
        </w:numPr>
        <w:pStyle w:val="Compact"/>
      </w:pPr>
      <w:r>
        <w:t xml:space="preserve">Comparison with baseline data from other locations.</w:t>
      </w:r>
    </w:p>
    <w:p>
      <w:pPr>
        <w:pStyle w:val="FirstParagraph"/>
      </w:pPr>
      <w:r>
        <w:t xml:space="preserve">Data analysis will be performed to determine the Baker's reliability and suitability for deployment in Canada Montreal.</w:t>
      </w:r>
    </w:p>
    <w:bookmarkEnd w:id="32"/>
    <w:bookmarkStart w:id="33" w:name="risk-management"/>
    <w:p>
      <w:pPr>
        <w:pStyle w:val="Heading2"/>
      </w:pPr>
      <w:r>
        <w:t xml:space="preserve">8. Risk Management</w:t>
      </w:r>
    </w:p>
    <w:p>
      <w:pPr>
        <w:pStyle w:val="FirstParagraph"/>
      </w:pPr>
      <w:r>
        <w:t xml:space="preserve">Potential risks include:</w:t>
      </w:r>
    </w:p>
    <w:p>
      <w:pPr>
        <w:numPr>
          <w:ilvl w:val="0"/>
          <w:numId w:val="1009"/>
        </w:numPr>
        <w:pStyle w:val="Compact"/>
      </w:pPr>
      <w:r>
        <w:t xml:space="preserve">Equipment malfunction.</w:t>
      </w:r>
    </w:p>
    <w:p>
      <w:pPr>
        <w:numPr>
          <w:ilvl w:val="0"/>
          <w:numId w:val="1009"/>
        </w:numPr>
        <w:pStyle w:val="Compact"/>
      </w:pPr>
      <w:r>
        <w:t xml:space="preserve">Food safety hazards.</w:t>
      </w:r>
    </w:p>
    <w:p>
      <w:pPr>
        <w:numPr>
          <w:ilvl w:val="0"/>
          <w:numId w:val="1009"/>
        </w:numPr>
        <w:pStyle w:val="Compact"/>
      </w:pPr>
      <w:r>
        <w:t xml:space="preserve">Environmental variability.</w:t>
      </w:r>
    </w:p>
    <w:p>
      <w:pPr>
        <w:pStyle w:val="FirstParagraph"/>
      </w:pPr>
      <w:r>
        <w:t xml:space="preserve">Mitigation strategies:</w:t>
      </w:r>
    </w:p>
    <w:p>
      <w:pPr>
        <w:numPr>
          <w:ilvl w:val="0"/>
          <w:numId w:val="1010"/>
        </w:numPr>
        <w:pStyle w:val="Compact"/>
      </w:pPr>
      <w:r>
        <w:t xml:space="preserve">Regular equipment checks.</w:t>
      </w:r>
    </w:p>
    <w:p>
      <w:pPr>
        <w:numPr>
          <w:ilvl w:val="0"/>
          <w:numId w:val="1010"/>
        </w:numPr>
        <w:pStyle w:val="Compact"/>
      </w:pPr>
      <w:r>
        <w:t xml:space="preserve">Strict adherence to hygiene protocols.</w:t>
      </w:r>
    </w:p>
    <w:p>
      <w:pPr>
        <w:numPr>
          <w:ilvl w:val="0"/>
          <w:numId w:val="1010"/>
        </w:numPr>
        <w:pStyle w:val="Compact"/>
      </w:pPr>
      <w:r>
        <w:t xml:space="preserve">Real-time environmental monitoring.</w:t>
      </w:r>
    </w:p>
    <w:bookmarkEnd w:id="33"/>
    <w:bookmarkStart w:id="34" w:name="roles-and-responsibilities"/>
    <w:p>
      <w:pPr>
        <w:pStyle w:val="Heading2"/>
      </w:pPr>
      <w:r>
        <w:t xml:space="preserve">9. Roles and Responsibilities</w:t>
      </w:r>
    </w:p>
    <w:p>
      <w:pPr>
        <w:numPr>
          <w:ilvl w:val="0"/>
          <w:numId w:val="1011"/>
        </w:numPr>
        <w:pStyle w:val="Compact"/>
      </w:pPr>
      <w:r>
        <w:rPr>
          <w:bCs/>
          <w:b/>
        </w:rPr>
        <w:t xml:space="preserve">Lead Technician:</w:t>
      </w:r>
      <w:r>
        <w:t xml:space="preserve"> </w:t>
      </w:r>
      <w:r>
        <w:t xml:space="preserve">Oversees the experiment and ensures protocol compliance.</w:t>
      </w:r>
    </w:p>
    <w:p>
      <w:pPr>
        <w:numPr>
          <w:ilvl w:val="0"/>
          <w:numId w:val="1011"/>
        </w:numPr>
        <w:pStyle w:val="Compact"/>
      </w:pPr>
      <w:r>
        <w:rPr>
          <w:bCs/>
          <w:b/>
        </w:rPr>
        <w:t xml:space="preserve">Data Recorder:</w:t>
      </w:r>
      <w:r>
        <w:t xml:space="preserve"> </w:t>
      </w:r>
      <w:r>
        <w:t xml:space="preserve">Responsible for accurate data entry.</w:t>
      </w:r>
    </w:p>
    <w:p>
      <w:pPr>
        <w:numPr>
          <w:ilvl w:val="0"/>
          <w:numId w:val="1011"/>
        </w:numPr>
        <w:pStyle w:val="Compact"/>
      </w:pPr>
      <w:r>
        <w:rPr>
          <w:bCs/>
          <w:b/>
        </w:rPr>
        <w:t xml:space="preserve">Safety Officer:</w:t>
      </w:r>
      <w:r>
        <w:t xml:space="preserve"> </w:t>
      </w:r>
      <w:r>
        <w:t xml:space="preserve">Monitors safety conditions and incident reporting.</w:t>
      </w:r>
    </w:p>
    <w:bookmarkEnd w:id="34"/>
    <w:bookmarkStart w:id="35" w:name="conclusion"/>
    <w:p>
      <w:pPr>
        <w:pStyle w:val="Heading2"/>
      </w:pPr>
      <w:r>
        <w:t xml:space="preserve">10. Conclusion</w:t>
      </w:r>
    </w:p>
    <w:p>
      <w:pPr>
        <w:pStyle w:val="FirstParagraph"/>
      </w:pPr>
      <w:r>
        <w:t xml:space="preserve">This Experiment Protocol provides a comprehensive framework for evaluating the Baker in Canada Montreal. By following these procedures, we aim to gather reliable data that will inform future deployments and optimizations of the Baker system in this region.</w:t>
      </w:r>
    </w:p>
    <w:bookmarkEnd w:id="35"/>
    <w:bookmarkStart w:id="36" w:name="appendices"/>
    <w:p>
      <w:pPr>
        <w:pStyle w:val="Heading2"/>
      </w:pPr>
      <w:r>
        <w:t xml:space="preserve">11. Appendices</w:t>
      </w:r>
    </w:p>
    <w:p>
      <w:pPr>
        <w:numPr>
          <w:ilvl w:val="0"/>
          <w:numId w:val="1012"/>
        </w:numPr>
        <w:pStyle w:val="Compact"/>
      </w:pPr>
      <w:r>
        <w:t xml:space="preserve">Appendix A: Standardized Recipes</w:t>
      </w:r>
    </w:p>
    <w:p>
      <w:pPr>
        <w:numPr>
          <w:ilvl w:val="0"/>
          <w:numId w:val="1012"/>
        </w:numPr>
        <w:pStyle w:val="Compact"/>
      </w:pPr>
      <w:r>
        <w:t xml:space="preserve">Appendix B: Data Log Sheets</w:t>
      </w:r>
    </w:p>
    <w:p>
      <w:pPr>
        <w:numPr>
          <w:ilvl w:val="0"/>
          <w:numId w:val="1012"/>
        </w:numPr>
        <w:pStyle w:val="Compact"/>
      </w:pPr>
      <w:r>
        <w:t xml:space="preserve">Appendix C: Safety Checklists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Canada Montreal</dc:title>
  <dc:creator/>
  <dc:language>en</dc:language>
  <cp:keywords/>
  <dcterms:created xsi:type="dcterms:W3CDTF">2026-10-10T02:39:30Z</dcterms:created>
  <dcterms:modified xsi:type="dcterms:W3CDTF">2026-10-10T02:39:30Z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