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Germany</w:t>
      </w:r>
      <w:r>
        <w:t xml:space="preserve"> </w:t>
      </w:r>
      <w:r>
        <w:t xml:space="preserve">Frankfurt</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Germany Frankfurt</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Team</w:t>
      </w:r>
    </w:p>
    <w:bookmarkEnd w:id="20"/>
    <w:p>
      <w:pPr>
        <w:pStyle w:val="BodyText"/>
      </w:pPr>
      <w:r>
        <w:t xml:space="preserve">1. Introduction and Objective</w:t>
      </w:r>
    </w:p>
    <w:p>
      <w:pPr>
        <w:pStyle w:val="BodyText"/>
      </w:pPr>
      <w:r>
        <w:t xml:space="preserve">This Experiment Protocol outlines the methodology, procedures, and safety guidelines for the "Baker" experiment conducted in Germany Frankfurt. The primary objective of this experiment is to evaluate the performance, efficiency, and reliability of the Baker system under controlled conditions specific to the environmental and operational parameters of Frankfurt, Germany. The Baker system is designed to optimize processes related to thermal dynamics and material processing, and this experiment aims to validate its functionality in a real-world urban setting.</w:t>
      </w:r>
    </w:p>
    <w:p>
      <w:pPr>
        <w:pStyle w:val="BodyText"/>
      </w:pPr>
      <w:r>
        <w:t xml:space="preserve">The experiment will focus on measuring key performance indicators (KPIs) such as energy consumption, output consistency, and system stability. By conducting this experiment in Germany Frankfurt, we aim to assess how local factors, including climate, infrastructure, and regulatory requirements, influence the Baker system's operation. The results will provide valuable insights for future deployments and improvements.</w:t>
      </w:r>
    </w:p>
    <w:p>
      <w:pPr>
        <w:pStyle w:val="BodyText"/>
      </w:pPr>
      <w:r>
        <w:t xml:space="preserve">2. Scope and Location Details</w:t>
      </w:r>
    </w:p>
    <w:p>
      <w:pPr>
        <w:pStyle w:val="BodyText"/>
      </w:pPr>
      <w:r>
        <w:t xml:space="preserve">The experiment will be conducted at a designated facility in Germany Frankfurt, specifically chosen for its accessibility, controlled environment, and compliance with local regulations. The facility is equipped with the necessary infrastructure to support the Baker system, including power supply, ventilation, and monitoring equipment.</w:t>
      </w:r>
    </w:p>
    <w:p>
      <w:pPr>
        <w:pStyle w:val="BodyText"/>
      </w:pPr>
      <w:r>
        <w:t xml:space="preserve">The scope of the experiment includes:</w:t>
      </w:r>
    </w:p>
    <w:p>
      <w:pPr>
        <w:numPr>
          <w:ilvl w:val="0"/>
          <w:numId w:val="1001"/>
        </w:numPr>
        <w:pStyle w:val="Compact"/>
      </w:pPr>
      <w:r>
        <w:t xml:space="preserve">Installation and calibration of the Baker system.</w:t>
      </w:r>
    </w:p>
    <w:p>
      <w:pPr>
        <w:numPr>
          <w:ilvl w:val="0"/>
          <w:numId w:val="1001"/>
        </w:numPr>
        <w:pStyle w:val="Compact"/>
      </w:pPr>
      <w:r>
        <w:t xml:space="preserve">Execution of predefined test scenarios.</w:t>
      </w:r>
    </w:p>
    <w:p>
      <w:pPr>
        <w:numPr>
          <w:ilvl w:val="0"/>
          <w:numId w:val="1001"/>
        </w:numPr>
        <w:pStyle w:val="Compact"/>
      </w:pPr>
      <w:r>
        <w:t xml:space="preserve">Collection and analysis of performance data.</w:t>
      </w:r>
    </w:p>
    <w:p>
      <w:pPr>
        <w:numPr>
          <w:ilvl w:val="0"/>
          <w:numId w:val="1001"/>
        </w:numPr>
        <w:pStyle w:val="Compact"/>
      </w:pPr>
      <w:r>
        <w:t xml:space="preserve">Assessment of safety and compliance with German standards.</w:t>
      </w:r>
    </w:p>
    <w:p>
      <w:pPr>
        <w:pStyle w:val="FirstParagraph"/>
      </w:pPr>
      <w:r>
        <w:t xml:space="preserve">The experiment will adhere to all relevant regulations in Germany, including environmental, safety, and data protection laws. Special attention will be given to the specific requirements of Frankfurt, such as noise restrictions and energy efficiency mandates.</w:t>
      </w:r>
    </w:p>
    <w:p>
      <w:pPr>
        <w:pStyle w:val="BodyText"/>
      </w:pPr>
      <w:r>
        <w:t xml:space="preserve">3. Materials and Equipment</w:t>
      </w:r>
    </w:p>
    <w:p>
      <w:pPr>
        <w:pStyle w:val="BodyText"/>
      </w:pPr>
      <w:r>
        <w:t xml:space="preserve">The following materials and equipment will be used in the Baker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Baker System</w:t>
            </w:r>
          </w:p>
        </w:tc>
        <w:tc>
          <w:tcPr/>
          <w:p>
            <w:pPr>
              <w:pStyle w:val="Compact"/>
              <w:jc w:val="left"/>
            </w:pPr>
            <w:r>
              <w:t xml:space="preserve">Primary experimental unit</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Temperature, pressure, and flow sensors</w:t>
            </w:r>
          </w:p>
        </w:tc>
        <w:tc>
          <w:tcPr/>
          <w:p>
            <w:pPr>
              <w:pStyle w:val="Compact"/>
              <w:jc w:val="left"/>
            </w:pPr>
            <w:r>
              <w:t xml:space="preserve">10</w:t>
            </w:r>
          </w:p>
        </w:tc>
      </w:tr>
      <w:tr>
        <w:tc>
          <w:tcPr/>
          <w:p>
            <w:pPr>
              <w:pStyle w:val="Compact"/>
              <w:jc w:val="left"/>
            </w:pPr>
            <w:r>
              <w:t xml:space="preserve">Data Logger</w:t>
            </w:r>
          </w:p>
        </w:tc>
        <w:tc>
          <w:tcPr/>
          <w:p>
            <w:pPr>
              <w:pStyle w:val="Compact"/>
              <w:jc w:val="left"/>
            </w:pPr>
            <w:r>
              <w:t xml:space="preserve">For recording experimental data</w:t>
            </w:r>
          </w:p>
        </w:tc>
        <w:tc>
          <w:tcPr/>
          <w:p>
            <w:pPr>
              <w:pStyle w:val="Compact"/>
              <w:jc w:val="left"/>
            </w:pPr>
            <w:r>
              <w:t xml:space="preserve">1</w:t>
            </w:r>
          </w:p>
        </w:tc>
      </w:tr>
      <w:tr>
        <w:tc>
          <w:tcPr/>
          <w:p>
            <w:pPr>
              <w:pStyle w:val="Compact"/>
              <w:jc w:val="left"/>
            </w:pPr>
            <w:r>
              <w:t xml:space="preserve">Power Supply Unit</w:t>
            </w:r>
          </w:p>
        </w:tc>
        <w:tc>
          <w:tcPr/>
          <w:p>
            <w:pPr>
              <w:pStyle w:val="Compact"/>
              <w:jc w:val="left"/>
            </w:pPr>
            <w:r>
              <w:t xml:space="preserve">Stable power source compliant with German standards</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Protective equipment for personnel</w:t>
            </w:r>
          </w:p>
        </w:tc>
        <w:tc>
          <w:tcPr/>
          <w:p>
            <w:pPr>
              <w:pStyle w:val="Compact"/>
              <w:jc w:val="left"/>
            </w:pPr>
            <w:r>
              <w:t xml:space="preserve">As needed</w:t>
            </w:r>
          </w:p>
        </w:tc>
      </w:tr>
    </w:tbl>
    <w:p>
      <w:pPr>
        <w:pStyle w:val="BodyText"/>
      </w:pPr>
      <w:r>
        <w:t xml:space="preserve">4. Methodology</w:t>
      </w:r>
    </w:p>
    <w:p>
      <w:pPr>
        <w:pStyle w:val="BodyText"/>
      </w:pPr>
      <w:r>
        <w:t xml:space="preserve">The experiment will be conducted in three phases: preparation, execution, and analysis. Each phase is designed to ensure the accuracy and reliability of the results.</w:t>
      </w:r>
    </w:p>
    <w:bookmarkStart w:id="21" w:name="preparation-phase"/>
    <w:p>
      <w:pPr>
        <w:pStyle w:val="Heading3"/>
      </w:pPr>
      <w:r>
        <w:t xml:space="preserve">4.1 Preparation Phase</w:t>
      </w:r>
    </w:p>
    <w:p>
      <w:pPr>
        <w:numPr>
          <w:ilvl w:val="0"/>
          <w:numId w:val="1002"/>
        </w:numPr>
        <w:pStyle w:val="Compact"/>
      </w:pPr>
      <w:r>
        <w:t xml:space="preserve">Inspect and calibrate all equipment.</w:t>
      </w:r>
    </w:p>
    <w:p>
      <w:pPr>
        <w:numPr>
          <w:ilvl w:val="0"/>
          <w:numId w:val="1002"/>
        </w:numPr>
        <w:pStyle w:val="Compact"/>
      </w:pPr>
      <w:r>
        <w:t xml:space="preserve">Set up the Baker system according to manufacturer specifications.</w:t>
      </w:r>
    </w:p>
    <w:p>
      <w:pPr>
        <w:numPr>
          <w:ilvl w:val="0"/>
          <w:numId w:val="1002"/>
        </w:numPr>
        <w:pStyle w:val="Compact"/>
      </w:pPr>
      <w:r>
        <w:t xml:space="preserve">Verify compliance with local regulations in Germany Frankfurt.</w:t>
      </w:r>
    </w:p>
    <w:p>
      <w:pPr>
        <w:numPr>
          <w:ilvl w:val="0"/>
          <w:numId w:val="1002"/>
        </w:numPr>
        <w:pStyle w:val="Compact"/>
      </w:pPr>
      <w:r>
        <w:t xml:space="preserve">Train personnel on safety procedures and experimental protocols.</w:t>
      </w:r>
    </w:p>
    <w:bookmarkEnd w:id="21"/>
    <w:bookmarkStart w:id="22" w:name="execution-phase"/>
    <w:p>
      <w:pPr>
        <w:pStyle w:val="Heading3"/>
      </w:pPr>
      <w:r>
        <w:t xml:space="preserve">4.2 Execution Phase</w:t>
      </w:r>
    </w:p>
    <w:p>
      <w:pPr>
        <w:numPr>
          <w:ilvl w:val="0"/>
          <w:numId w:val="1003"/>
        </w:numPr>
        <w:pStyle w:val="Compact"/>
      </w:pPr>
      <w:r>
        <w:t xml:space="preserve">Initiate the Baker system and monitor initial performance.</w:t>
      </w:r>
    </w:p>
    <w:p>
      <w:pPr>
        <w:numPr>
          <w:ilvl w:val="0"/>
          <w:numId w:val="1003"/>
        </w:numPr>
        <w:pStyle w:val="Compact"/>
      </w:pPr>
      <w:r>
        <w:t xml:space="preserve">Run predefined test scenarios, varying parameters such as temperature and load.</w:t>
      </w:r>
    </w:p>
    <w:p>
      <w:pPr>
        <w:numPr>
          <w:ilvl w:val="0"/>
          <w:numId w:val="1003"/>
        </w:numPr>
        <w:pStyle w:val="Compact"/>
      </w:pPr>
      <w:r>
        <w:t xml:space="preserve">Record data continuously using the data logger and sensors.</w:t>
      </w:r>
    </w:p>
    <w:p>
      <w:pPr>
        <w:numPr>
          <w:ilvl w:val="0"/>
          <w:numId w:val="1003"/>
        </w:numPr>
        <w:pStyle w:val="Compact"/>
      </w:pPr>
      <w:r>
        <w:t xml:space="preserve">Document any anomalies or deviations from expected behavior.</w:t>
      </w:r>
    </w:p>
    <w:bookmarkEnd w:id="22"/>
    <w:bookmarkStart w:id="23" w:name="analysis-phase"/>
    <w:p>
      <w:pPr>
        <w:pStyle w:val="Heading3"/>
      </w:pPr>
      <w:r>
        <w:t xml:space="preserve">4.3 Analysis Phase</w:t>
      </w:r>
    </w:p>
    <w:p>
      <w:pPr>
        <w:numPr>
          <w:ilvl w:val="0"/>
          <w:numId w:val="1004"/>
        </w:numPr>
        <w:pStyle w:val="Compact"/>
      </w:pPr>
      <w:r>
        <w:t xml:space="preserve">Compile and analyze the collected data.</w:t>
      </w:r>
    </w:p>
    <w:p>
      <w:pPr>
        <w:numPr>
          <w:ilvl w:val="0"/>
          <w:numId w:val="1004"/>
        </w:numPr>
        <w:pStyle w:val="Compact"/>
      </w:pPr>
      <w:r>
        <w:t xml:space="preserve">Compare results with baseline expectations and previous experiments.</w:t>
      </w:r>
    </w:p>
    <w:p>
      <w:pPr>
        <w:numPr>
          <w:ilvl w:val="0"/>
          <w:numId w:val="1004"/>
        </w:numPr>
        <w:pStyle w:val="Compact"/>
      </w:pPr>
      <w:r>
        <w:t xml:space="preserve">Identify areas for improvement or further investigation.</w:t>
      </w:r>
    </w:p>
    <w:p>
      <w:pPr>
        <w:numPr>
          <w:ilvl w:val="0"/>
          <w:numId w:val="1004"/>
        </w:numPr>
        <w:pStyle w:val="Compact"/>
      </w:pPr>
      <w:r>
        <w:t xml:space="preserve">Prepare a comprehensive report summarizing findings.</w:t>
      </w:r>
    </w:p>
    <w:bookmarkEnd w:id="23"/>
    <w:p>
      <w:pPr>
        <w:pStyle w:val="FirstParagraph"/>
      </w:pPr>
      <w:r>
        <w:t xml:space="preserve">5. Safety and Compliance</w:t>
      </w:r>
    </w:p>
    <w:p>
      <w:pPr>
        <w:pStyle w:val="BodyText"/>
      </w:pPr>
      <w:r>
        <w:t xml:space="preserve">Safety is a paramount concern in the Baker experiment. All personnel must adhere to the following guidelines:</w:t>
      </w:r>
    </w:p>
    <w:p>
      <w:pPr>
        <w:numPr>
          <w:ilvl w:val="0"/>
          <w:numId w:val="1005"/>
        </w:numPr>
        <w:pStyle w:val="Compact"/>
      </w:pPr>
      <w:r>
        <w:t xml:space="preserve">Wear appropriate personal protective equipment (PPE) at all times.</w:t>
      </w:r>
    </w:p>
    <w:p>
      <w:pPr>
        <w:numPr>
          <w:ilvl w:val="0"/>
          <w:numId w:val="1005"/>
        </w:numPr>
        <w:pStyle w:val="Compact"/>
      </w:pPr>
      <w:r>
        <w:t xml:space="preserve">Follow emergency procedures in case of system malfunction or accident.</w:t>
      </w:r>
    </w:p>
    <w:p>
      <w:pPr>
        <w:numPr>
          <w:ilvl w:val="0"/>
          <w:numId w:val="1005"/>
        </w:numPr>
        <w:pStyle w:val="Compact"/>
      </w:pPr>
      <w:r>
        <w:t xml:space="preserve">Ensure the experimental area is well-ventilated and free of hazards.</w:t>
      </w:r>
    </w:p>
    <w:p>
      <w:pPr>
        <w:numPr>
          <w:ilvl w:val="0"/>
          <w:numId w:val="1005"/>
        </w:numPr>
        <w:pStyle w:val="Compact"/>
      </w:pPr>
      <w:r>
        <w:t xml:space="preserve">Comply with German safety standards, including DIN and EN regulations.</w:t>
      </w:r>
    </w:p>
    <w:p>
      <w:pPr>
        <w:pStyle w:val="FirstParagraph"/>
      </w:pPr>
      <w:r>
        <w:t xml:space="preserve">The experiment will also comply with environmental regulations in Germany Frankfurt, including waste disposal and emissions control. Any potential risks will be mitigated through careful planning and monitoring.</w:t>
      </w:r>
    </w:p>
    <w:p>
      <w:pPr>
        <w:pStyle w:val="BodyText"/>
      </w:pPr>
      <w:r>
        <w:t xml:space="preserve">6. Data Collection and Reporting</w:t>
      </w:r>
    </w:p>
    <w:p>
      <w:pPr>
        <w:pStyle w:val="BodyText"/>
      </w:pPr>
      <w:r>
        <w:t xml:space="preserve">Data will be collected using calibrated sensors and a data logger, ensuring accuracy and consistency. Key metrics to be recorded include:</w:t>
      </w:r>
    </w:p>
    <w:p>
      <w:pPr>
        <w:numPr>
          <w:ilvl w:val="0"/>
          <w:numId w:val="1006"/>
        </w:numPr>
        <w:pStyle w:val="Compact"/>
      </w:pPr>
      <w:r>
        <w:t xml:space="preserve">Energy consumption</w:t>
      </w:r>
    </w:p>
    <w:p>
      <w:pPr>
        <w:numPr>
          <w:ilvl w:val="0"/>
          <w:numId w:val="1006"/>
        </w:numPr>
        <w:pStyle w:val="Compact"/>
      </w:pPr>
      <w:r>
        <w:t xml:space="preserve">Output quality and consistency</w:t>
      </w:r>
    </w:p>
    <w:p>
      <w:pPr>
        <w:numPr>
          <w:ilvl w:val="0"/>
          <w:numId w:val="1006"/>
        </w:numPr>
        <w:pStyle w:val="Compact"/>
      </w:pPr>
      <w:r>
        <w:t xml:space="preserve">System temperature and pressure</w:t>
      </w:r>
    </w:p>
    <w:p>
      <w:pPr>
        <w:numPr>
          <w:ilvl w:val="0"/>
          <w:numId w:val="1006"/>
        </w:numPr>
        <w:pStyle w:val="Compact"/>
      </w:pPr>
      <w:r>
        <w:t xml:space="preserve">Operational uptime and downtime</w:t>
      </w:r>
    </w:p>
    <w:p>
      <w:pPr>
        <w:pStyle w:val="FirstParagraph"/>
      </w:pPr>
      <w:r>
        <w:t xml:space="preserve">The data will be analyzed using statistical methods to identify trends and patterns. A final report will be prepared, detailing the experiment's objectives, methodology, results, and conclusions. This report will be shared with stakeholders and used to inform future developments of the Baker system.</w:t>
      </w:r>
    </w:p>
    <w:p>
      <w:pPr>
        <w:pStyle w:val="BodyText"/>
      </w:pPr>
      <w:r>
        <w:t xml:space="preserve">7. Conclusion</w:t>
      </w:r>
    </w:p>
    <w:p>
      <w:pPr>
        <w:pStyle w:val="BodyText"/>
      </w:pPr>
      <w:r>
        <w:t xml:space="preserve">This Experiment Protocol provides a comprehensive framework for conducting the Baker experiment in Germany Frankfurt. By following the outlined procedures, we aim to achieve reliable and meaningful results that contribute to the advancement of the Baker system. The experiment underscores the importance of rigorous testing and compliance with local regulations, ensuring that the system is safe, efficient, and effective for real-world applications.</w:t>
      </w:r>
    </w:p>
    <w:p>
      <w:pPr>
        <w:pStyle w:val="BodyText"/>
      </w:pPr>
      <w:r>
        <w:t xml:space="preserve">This document is confidential and intended solely for the use of authorized personnel involved in the Baker experiment.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Germany Frankfurt</dc:title>
  <dc:creator/>
  <dc:language>en</dc:language>
  <cp:keywords/>
  <dcterms:created xsi:type="dcterms:W3CDTF">2026-10-10T00:32:02Z</dcterms:created>
  <dcterms:modified xsi:type="dcterms:W3CDTF">2026-10-10T00:32:02Z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