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in</w:t>
      </w:r>
      <w:r>
        <w:t xml:space="preserve"> </w:t>
      </w:r>
      <w:r>
        <w:t xml:space="preserve">Japan</w:t>
      </w:r>
      <w:r>
        <w:t xml:space="preserve"> </w:t>
      </w:r>
      <w:r>
        <w:t xml:space="preserve">Kyoto</w:t>
      </w:r>
    </w:p>
    <w:bookmarkStart w:id="20" w:name="experiment-protocol-baker"/>
    <w:p>
      <w:pPr>
        <w:pStyle w:val="Heading1"/>
      </w:pPr>
      <w:r>
        <w:t xml:space="preserve">Experiment Protocol: Baker</w:t>
      </w:r>
    </w:p>
    <w:p>
      <w:pPr>
        <w:pStyle w:val="FirstParagraph"/>
      </w:pPr>
      <w:r>
        <w:rPr>
          <w:bCs/>
          <w:b/>
        </w:rPr>
        <w:t xml:space="preserve">Location:</w:t>
      </w:r>
      <w:r>
        <w:t xml:space="preserve"> </w:t>
      </w:r>
      <w:r>
        <w:t xml:space="preserve">Japan Kyoto</w:t>
      </w:r>
      <w:r>
        <w:br/>
      </w:r>
      <w:r>
        <w:rPr>
          <w:bCs/>
          <w:b/>
        </w:rPr>
        <w:t xml:space="preserve">Version:</w:t>
      </w:r>
      <w:r>
        <w:t xml:space="preserve"> </w:t>
      </w:r>
      <w:r>
        <w:t xml:space="preserve">1.0</w:t>
      </w:r>
      <w:r>
        <w:br/>
      </w:r>
      <w:r>
        <w:rPr>
          <w:bCs/>
          <w:b/>
        </w:rPr>
        <w:t xml:space="preserve">Date:</w:t>
      </w:r>
      <w:r>
        <w:t xml:space="preserve"> </w:t>
      </w:r>
      <w:r>
        <w:t xml:space="preserve">October 26, 2023</w:t>
      </w:r>
      <w:r>
        <w:br/>
      </w:r>
      <w:r>
        <w:rPr>
          <w:bCs/>
          <w:b/>
        </w:rPr>
        <w:t xml:space="preserve">Classification:</w:t>
      </w:r>
      <w:r>
        <w:t xml:space="preserve"> </w:t>
      </w:r>
      <w:r>
        <w:t xml:space="preserve">Internal Research</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testing the "Baker" system within the specific environmental and operational context of Japan Kyoto. The Baker system is designed to optimize workflow efficiency, resource allocation, and output consistency in high-precision environments. Given Kyoto's unique cultural emphasis on craftsmanship, precision, and tradition, this experiment aims to evaluate how Baker adapts to local standards of quality and operational rhythm.</w:t>
      </w:r>
    </w:p>
    <w:p>
      <w:pPr>
        <w:pStyle w:val="BodyText"/>
      </w:pPr>
      <w:r>
        <w:t xml:space="preserve">The primary objective is to validate Baker’s performance metrics against baseline expectations while accounting for regional variables such as humidity, supply chain logistics, and user interaction patterns typical in Kyoto. Secondary objectives include assessing user acceptance among local operators and identifying necessary localization adjustments for long-term deployment.</w:t>
      </w:r>
    </w:p>
    <w:bookmarkEnd w:id="21"/>
    <w:bookmarkStart w:id="24" w:name="scope-and-definitions"/>
    <w:p>
      <w:pPr>
        <w:pStyle w:val="Heading2"/>
      </w:pPr>
      <w:r>
        <w:t xml:space="preserve">2. Scope and Definitions</w:t>
      </w:r>
    </w:p>
    <w:bookmarkStart w:id="22" w:name="scope"/>
    <w:p>
      <w:pPr>
        <w:pStyle w:val="Heading3"/>
      </w:pPr>
      <w:r>
        <w:t xml:space="preserve">2.1 Scope</w:t>
      </w:r>
    </w:p>
    <w:p>
      <w:pPr>
        <w:pStyle w:val="FirstParagraph"/>
      </w:pPr>
      <w:r>
        <w:t xml:space="preserve">This protocol applies exclusively to the deployment of Baker in designated facilities located in Japan Kyoto. It covers all phases from initial setup and calibration through data collection, analysis, and final reporting. Personnel involved must adhere strictly to this document to ensure consistency and reproducibility.</w:t>
      </w:r>
    </w:p>
    <w:bookmarkEnd w:id="22"/>
    <w:bookmarkStart w:id="23" w:name="definitions"/>
    <w:p>
      <w:pPr>
        <w:pStyle w:val="Heading3"/>
      </w:pPr>
      <w:r>
        <w:t xml:space="preserve">2.2 Definitions</w:t>
      </w:r>
    </w:p>
    <w:p>
      <w:pPr>
        <w:numPr>
          <w:ilvl w:val="0"/>
          <w:numId w:val="1001"/>
        </w:numPr>
        <w:pStyle w:val="Compact"/>
      </w:pPr>
      <w:r>
        <w:rPr>
          <w:bCs/>
          <w:b/>
        </w:rPr>
        <w:t xml:space="preserve">Baker:</w:t>
      </w:r>
      <w:r>
        <w:t xml:space="preserve"> </w:t>
      </w:r>
      <w:r>
        <w:t xml:space="preserve">The automated workflow management system under evaluation.</w:t>
      </w:r>
    </w:p>
    <w:p>
      <w:pPr>
        <w:numPr>
          <w:ilvl w:val="0"/>
          <w:numId w:val="1001"/>
        </w:numPr>
        <w:pStyle w:val="Compact"/>
      </w:pPr>
      <w:r>
        <w:rPr>
          <w:bCs/>
          <w:b/>
        </w:rPr>
        <w:t xml:space="preserve">Japan Kyoto:</w:t>
      </w:r>
      <w:r>
        <w:t xml:space="preserve"> </w:t>
      </w:r>
      <w:r>
        <w:t xml:space="preserve">The geographic and cultural region where the experiment is conducted, characterized by specific environmental and operational conditions.</w:t>
      </w:r>
    </w:p>
    <w:p>
      <w:pPr>
        <w:numPr>
          <w:ilvl w:val="0"/>
          <w:numId w:val="1001"/>
        </w:numPr>
        <w:pStyle w:val="Compact"/>
      </w:pPr>
      <w:r>
        <w:rPr>
          <w:bCs/>
          <w:b/>
        </w:rPr>
        <w:t xml:space="preserve">Experiment Protocol:</w:t>
      </w:r>
      <w:r>
        <w:t xml:space="preserve"> </w:t>
      </w:r>
      <w:r>
        <w:t xml:space="preserve">This document, which defines the methodology, procedures, and criteria for the Baker evaluation.</w:t>
      </w:r>
    </w:p>
    <w:p>
      <w:pPr>
        <w:numPr>
          <w:ilvl w:val="0"/>
          <w:numId w:val="1001"/>
        </w:numPr>
        <w:pStyle w:val="Compact"/>
      </w:pPr>
      <w:r>
        <w:rPr>
          <w:bCs/>
          <w:b/>
        </w:rPr>
        <w:t xml:space="preserve">Operator:</w:t>
      </w:r>
      <w:r>
        <w:t xml:space="preserve"> </w:t>
      </w:r>
      <w:r>
        <w:t xml:space="preserve">Personnel responsible for interacting with Baker during the experiment.</w:t>
      </w:r>
    </w:p>
    <w:bookmarkEnd w:id="23"/>
    <w:bookmarkEnd w:id="24"/>
    <w:bookmarkStart w:id="28" w:name="experimental-design"/>
    <w:p>
      <w:pPr>
        <w:pStyle w:val="Heading2"/>
      </w:pPr>
      <w:r>
        <w:t xml:space="preserve">3. Experimental Design</w:t>
      </w:r>
    </w:p>
    <w:bookmarkStart w:id="25" w:name="environment-setup"/>
    <w:p>
      <w:pPr>
        <w:pStyle w:val="Heading3"/>
      </w:pPr>
      <w:r>
        <w:t xml:space="preserve">3.1 Environment Setup</w:t>
      </w:r>
    </w:p>
    <w:p>
      <w:pPr>
        <w:pStyle w:val="FirstParagraph"/>
      </w:pPr>
      <w:r>
        <w:t xml:space="preserve">The experiment will be conducted in a controlled facility in Japan Kyoto that mirrors typical operational conditions. Key environmental parameters include:</w:t>
      </w:r>
    </w:p>
    <w:p>
      <w:pPr>
        <w:numPr>
          <w:ilvl w:val="0"/>
          <w:numId w:val="1002"/>
        </w:numPr>
        <w:pStyle w:val="Compact"/>
      </w:pPr>
      <w:r>
        <w:t xml:space="preserve">Temperature: 20–25°C</w:t>
      </w:r>
    </w:p>
    <w:p>
      <w:pPr>
        <w:numPr>
          <w:ilvl w:val="0"/>
          <w:numId w:val="1002"/>
        </w:numPr>
        <w:pStyle w:val="Compact"/>
      </w:pPr>
      <w:r>
        <w:t xml:space="preserve">Humidity: 50–60% (reflecting Kyoto’s seasonal averages)</w:t>
      </w:r>
    </w:p>
    <w:p>
      <w:pPr>
        <w:numPr>
          <w:ilvl w:val="0"/>
          <w:numId w:val="1002"/>
        </w:numPr>
        <w:pStyle w:val="Compact"/>
      </w:pPr>
      <w:r>
        <w:t xml:space="preserve">Power Supply: Stable 100V AC with surge protection</w:t>
      </w:r>
    </w:p>
    <w:p>
      <w:pPr>
        <w:numPr>
          <w:ilvl w:val="0"/>
          <w:numId w:val="1002"/>
        </w:numPr>
        <w:pStyle w:val="Compact"/>
      </w:pPr>
      <w:r>
        <w:t xml:space="preserve">Network: Dedicated high-speed internet connection with latency &lt; 20ms</w:t>
      </w:r>
    </w:p>
    <w:p>
      <w:pPr>
        <w:pStyle w:val="FirstParagraph"/>
      </w:pPr>
      <w:r>
        <w:t xml:space="preserve">All equipment must be calibrated prior to commencement. Baker’s interface will be localized to Japanese to ensure accurate operator interaction and data entry.</w:t>
      </w:r>
    </w:p>
    <w:bookmarkEnd w:id="25"/>
    <w:bookmarkStart w:id="26" w:name="participants"/>
    <w:p>
      <w:pPr>
        <w:pStyle w:val="Heading3"/>
      </w:pPr>
      <w:r>
        <w:t xml:space="preserve">3.2 Participants</w:t>
      </w:r>
    </w:p>
    <w:p>
      <w:pPr>
        <w:pStyle w:val="FirstParagraph"/>
      </w:pPr>
      <w:r>
        <w:t xml:space="preserve">A total of 15 operators will participate, selected based on experience with similar systems. Participants will be divided into three groups:</w:t>
      </w:r>
    </w:p>
    <w:p>
      <w:pPr>
        <w:numPr>
          <w:ilvl w:val="0"/>
          <w:numId w:val="1003"/>
        </w:numPr>
        <w:pStyle w:val="Compact"/>
      </w:pPr>
      <w:r>
        <w:t xml:space="preserve">Group A: Experienced users (5 operators)</w:t>
      </w:r>
    </w:p>
    <w:p>
      <w:pPr>
        <w:numPr>
          <w:ilvl w:val="0"/>
          <w:numId w:val="1003"/>
        </w:numPr>
        <w:pStyle w:val="Compact"/>
      </w:pPr>
      <w:r>
        <w:t xml:space="preserve">Group B: Intermediate users (5 operators)</w:t>
      </w:r>
    </w:p>
    <w:p>
      <w:pPr>
        <w:numPr>
          <w:ilvl w:val="0"/>
          <w:numId w:val="1003"/>
        </w:numPr>
        <w:pStyle w:val="Compact"/>
      </w:pPr>
      <w:r>
        <w:t xml:space="preserve">Group C: Novice users (5 operators)</w:t>
      </w:r>
    </w:p>
    <w:p>
      <w:pPr>
        <w:pStyle w:val="FirstParagraph"/>
      </w:pPr>
      <w:r>
        <w:t xml:space="preserve">All participants will receive standardized training on Baker before the experiment begins.</w:t>
      </w:r>
    </w:p>
    <w:bookmarkEnd w:id="26"/>
    <w:bookmarkStart w:id="27" w:name="duration"/>
    <w:p>
      <w:pPr>
        <w:pStyle w:val="Heading3"/>
      </w:pPr>
      <w:r>
        <w:t xml:space="preserve">3.3 Duration</w:t>
      </w:r>
    </w:p>
    <w:p>
      <w:pPr>
        <w:pStyle w:val="FirstParagraph"/>
      </w:pPr>
      <w:r>
        <w:t xml:space="preserve">The experiment will run for 14 consecutive days, with each operator completing 8-hour shifts. Data will be collected continuously throughout this period.</w:t>
      </w:r>
    </w:p>
    <w:bookmarkEnd w:id="27"/>
    <w:bookmarkEnd w:id="28"/>
    <w:bookmarkStart w:id="32" w:name="procedures"/>
    <w:p>
      <w:pPr>
        <w:pStyle w:val="Heading2"/>
      </w:pPr>
      <w:r>
        <w:t xml:space="preserve">4. Procedures</w:t>
      </w:r>
    </w:p>
    <w:bookmarkStart w:id="29" w:name="pre-experiment-preparation"/>
    <w:p>
      <w:pPr>
        <w:pStyle w:val="Heading3"/>
      </w:pPr>
      <w:r>
        <w:t xml:space="preserve">4.1 Pre-Experiment Preparation</w:t>
      </w:r>
    </w:p>
    <w:p>
      <w:pPr>
        <w:numPr>
          <w:ilvl w:val="0"/>
          <w:numId w:val="1004"/>
        </w:numPr>
        <w:pStyle w:val="Compact"/>
      </w:pPr>
      <w:r>
        <w:t xml:space="preserve">Install and configure Baker according to manufacturer specifications.</w:t>
      </w:r>
    </w:p>
    <w:p>
      <w:pPr>
        <w:numPr>
          <w:ilvl w:val="0"/>
          <w:numId w:val="1004"/>
        </w:numPr>
        <w:pStyle w:val="Compact"/>
      </w:pPr>
      <w:r>
        <w:t xml:space="preserve">Verify environmental conditions meet required parameters.</w:t>
      </w:r>
    </w:p>
    <w:p>
      <w:pPr>
        <w:numPr>
          <w:ilvl w:val="0"/>
          <w:numId w:val="1004"/>
        </w:numPr>
        <w:pStyle w:val="Compact"/>
      </w:pPr>
      <w:r>
        <w:t xml:space="preserve">Conduct training sessions for all operators.</w:t>
      </w:r>
    </w:p>
    <w:p>
      <w:pPr>
        <w:numPr>
          <w:ilvl w:val="0"/>
          <w:numId w:val="1004"/>
        </w:numPr>
        <w:pStyle w:val="Compact"/>
      </w:pPr>
      <w:r>
        <w:t xml:space="preserve">Perform a dry run to identify and resolve any technical issues.</w:t>
      </w:r>
    </w:p>
    <w:bookmarkEnd w:id="29"/>
    <w:bookmarkStart w:id="30" w:name="data-collection"/>
    <w:p>
      <w:pPr>
        <w:pStyle w:val="Heading3"/>
      </w:pPr>
      <w:r>
        <w:t xml:space="preserve">4.2 Data Collection</w:t>
      </w:r>
    </w:p>
    <w:p>
      <w:pPr>
        <w:pStyle w:val="FirstParagraph"/>
      </w:pPr>
      <w:r>
        <w:t xml:space="preserve">The following metrics will be recorded automatically by Baker and manually by operators: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Method</w:t>
            </w:r>
          </w:p>
        </w:tc>
        <w:tc>
          <w:tcPr/>
          <w:p>
            <w:pPr>
              <w:pStyle w:val="Compact"/>
              <w:jc w:val="left"/>
            </w:pPr>
            <w:r>
              <w:t xml:space="preserve">Frequency</w:t>
            </w:r>
          </w:p>
        </w:tc>
      </w:tr>
      <w:tr>
        <w:tc>
          <w:tcPr/>
          <w:p>
            <w:pPr>
              <w:pStyle w:val="Compact"/>
              <w:jc w:val="left"/>
            </w:pPr>
            <w:r>
              <w:t xml:space="preserve">Task Completion Time</w:t>
            </w:r>
          </w:p>
        </w:tc>
        <w:tc>
          <w:tcPr/>
          <w:p>
            <w:pPr>
              <w:pStyle w:val="Compact"/>
              <w:jc w:val="left"/>
            </w:pPr>
            <w:r>
              <w:t xml:space="preserve">Automated</w:t>
            </w:r>
          </w:p>
        </w:tc>
        <w:tc>
          <w:tcPr/>
          <w:p>
            <w:pPr>
              <w:pStyle w:val="Compact"/>
              <w:jc w:val="left"/>
            </w:pPr>
            <w:r>
              <w:t xml:space="preserve">Per task</w:t>
            </w:r>
          </w:p>
        </w:tc>
      </w:tr>
      <w:tr>
        <w:tc>
          <w:tcPr/>
          <w:p>
            <w:pPr>
              <w:pStyle w:val="Compact"/>
              <w:jc w:val="left"/>
            </w:pPr>
            <w:r>
              <w:t xml:space="preserve">Error Rate</w:t>
            </w:r>
          </w:p>
        </w:tc>
        <w:tc>
          <w:tcPr/>
          <w:p>
            <w:pPr>
              <w:pStyle w:val="Compact"/>
              <w:jc w:val="left"/>
            </w:pPr>
            <w:r>
              <w:t xml:space="preserve">Automated + Manual Review</w:t>
            </w:r>
          </w:p>
        </w:tc>
        <w:tc>
          <w:tcPr/>
          <w:p>
            <w:pPr>
              <w:pStyle w:val="Compact"/>
              <w:jc w:val="left"/>
            </w:pPr>
            <w:r>
              <w:t xml:space="preserve">Hourly</w:t>
            </w:r>
          </w:p>
        </w:tc>
      </w:tr>
      <w:tr>
        <w:tc>
          <w:tcPr/>
          <w:p>
            <w:pPr>
              <w:pStyle w:val="Compact"/>
              <w:jc w:val="left"/>
            </w:pPr>
            <w:r>
              <w:t xml:space="preserve">User Satisfaction Score</w:t>
            </w:r>
          </w:p>
        </w:tc>
        <w:tc>
          <w:tcPr/>
          <w:p>
            <w:pPr>
              <w:pStyle w:val="Compact"/>
              <w:jc w:val="left"/>
            </w:pPr>
            <w:r>
              <w:t xml:space="preserve">Survey</w:t>
            </w:r>
          </w:p>
        </w:tc>
        <w:tc>
          <w:tcPr/>
          <w:p>
            <w:pPr>
              <w:pStyle w:val="Compact"/>
              <w:jc w:val="left"/>
            </w:pPr>
            <w:r>
              <w:t xml:space="preserve">Daily</w:t>
            </w:r>
          </w:p>
        </w:tc>
      </w:tr>
      <w:tr>
        <w:tc>
          <w:tcPr/>
          <w:p>
            <w:pPr>
              <w:pStyle w:val="Compact"/>
              <w:jc w:val="left"/>
            </w:pPr>
            <w:r>
              <w:t xml:space="preserve">System Uptime</w:t>
            </w:r>
          </w:p>
        </w:tc>
        <w:tc>
          <w:tcPr/>
          <w:p>
            <w:pPr>
              <w:pStyle w:val="Compact"/>
              <w:jc w:val="left"/>
            </w:pPr>
            <w:r>
              <w:t xml:space="preserve">Automated</w:t>
            </w:r>
          </w:p>
        </w:tc>
        <w:tc>
          <w:tcPr/>
          <w:p>
            <w:pPr>
              <w:pStyle w:val="Compact"/>
              <w:jc w:val="left"/>
            </w:pPr>
            <w:r>
              <w:t xml:space="preserve">Continuous</w:t>
            </w:r>
          </w:p>
        </w:tc>
      </w:tr>
      <w:tr>
        <w:tc>
          <w:tcPr/>
          <w:p>
            <w:pPr>
              <w:pStyle w:val="Compact"/>
              <w:jc w:val="left"/>
            </w:pPr>
            <w:r>
              <w:t xml:space="preserve">Resource Utilization</w:t>
            </w:r>
          </w:p>
        </w:tc>
        <w:tc>
          <w:tcPr/>
          <w:p>
            <w:pPr>
              <w:pStyle w:val="Compact"/>
              <w:jc w:val="left"/>
            </w:pPr>
            <w:r>
              <w:t xml:space="preserve">Automated</w:t>
            </w:r>
          </w:p>
        </w:tc>
        <w:tc>
          <w:tcPr/>
          <w:p>
            <w:pPr>
              <w:pStyle w:val="Compact"/>
              <w:jc w:val="left"/>
            </w:pPr>
            <w:r>
              <w:t xml:space="preserve">Every 15 minutes</w:t>
            </w:r>
          </w:p>
        </w:tc>
      </w:tr>
    </w:tbl>
    <w:bookmarkEnd w:id="30"/>
    <w:bookmarkStart w:id="31" w:name="post-experiment-analysis"/>
    <w:p>
      <w:pPr>
        <w:pStyle w:val="Heading3"/>
      </w:pPr>
      <w:r>
        <w:t xml:space="preserve">4.3 Post-Experiment Analysis</w:t>
      </w:r>
    </w:p>
    <w:p>
      <w:pPr>
        <w:pStyle w:val="FirstParagraph"/>
      </w:pPr>
      <w:r>
        <w:t xml:space="preserve">After the 14-day period, all data will be aggregated and analyzed. Key performance indicators (KPIs) will be compared against predefined thresholds. Feedback from operators will be synthesized to identify usability issues and areas for improvement.</w:t>
      </w:r>
    </w:p>
    <w:bookmarkEnd w:id="31"/>
    <w:bookmarkEnd w:id="32"/>
    <w:bookmarkStart w:id="33" w:name="risk-management"/>
    <w:p>
      <w:pPr>
        <w:pStyle w:val="Heading2"/>
      </w:pPr>
      <w:r>
        <w:t xml:space="preserve">5. Risk Management</w:t>
      </w:r>
    </w:p>
    <w:p>
      <w:pPr>
        <w:pStyle w:val="FirstParagraph"/>
      </w:pPr>
      <w:r>
        <w:t xml:space="preserve">Potential risks and mitigation strategies include:</w:t>
      </w:r>
    </w:p>
    <w:p>
      <w:pPr>
        <w:numPr>
          <w:ilvl w:val="0"/>
          <w:numId w:val="1005"/>
        </w:numPr>
        <w:pStyle w:val="Compact"/>
      </w:pPr>
      <w:r>
        <w:rPr>
          <w:bCs/>
          <w:b/>
        </w:rPr>
        <w:t xml:space="preserve">System Failure:</w:t>
      </w:r>
      <w:r>
        <w:t xml:space="preserve"> </w:t>
      </w:r>
      <w:r>
        <w:t xml:space="preserve">Backup systems will be on standby; immediate technical support available.</w:t>
      </w:r>
    </w:p>
    <w:p>
      <w:pPr>
        <w:numPr>
          <w:ilvl w:val="0"/>
          <w:numId w:val="1005"/>
        </w:numPr>
        <w:pStyle w:val="Compact"/>
      </w:pPr>
      <w:r>
        <w:rPr>
          <w:bCs/>
          <w:b/>
        </w:rPr>
        <w:t xml:space="preserve">Data Loss:</w:t>
      </w:r>
      <w:r>
        <w:t xml:space="preserve"> </w:t>
      </w:r>
      <w:r>
        <w:t xml:space="preserve">Real-time cloud backups enabled; local redundancy maintained.</w:t>
      </w:r>
    </w:p>
    <w:p>
      <w:pPr>
        <w:numPr>
          <w:ilvl w:val="0"/>
          <w:numId w:val="1005"/>
        </w:numPr>
        <w:pStyle w:val="Compact"/>
      </w:pPr>
      <w:r>
        <w:rPr>
          <w:bCs/>
          <w:b/>
        </w:rPr>
        <w:t xml:space="preserve">Operator Fatigue:</w:t>
      </w:r>
      <w:r>
        <w:t xml:space="preserve"> </w:t>
      </w:r>
      <w:r>
        <w:t xml:space="preserve">Scheduled breaks enforced; shift rotations implemented.</w:t>
      </w:r>
    </w:p>
    <w:p>
      <w:pPr>
        <w:numPr>
          <w:ilvl w:val="0"/>
          <w:numId w:val="1005"/>
        </w:numPr>
        <w:pStyle w:val="Compact"/>
      </w:pPr>
      <w:r>
        <w:rPr>
          <w:bCs/>
          <w:b/>
        </w:rPr>
        <w:t xml:space="preserve">Environmental Fluctuations:</w:t>
      </w:r>
      <w:r>
        <w:t xml:space="preserve"> </w:t>
      </w:r>
      <w:r>
        <w:t xml:space="preserve">HVAC systems monitored and adjusted as needed.</w:t>
      </w:r>
    </w:p>
    <w:bookmarkEnd w:id="33"/>
    <w:bookmarkStart w:id="34" w:name="ethical-considerations"/>
    <w:p>
      <w:pPr>
        <w:pStyle w:val="Heading2"/>
      </w:pPr>
      <w:r>
        <w:t xml:space="preserve">6. Ethical Considerations</w:t>
      </w:r>
    </w:p>
    <w:p>
      <w:pPr>
        <w:pStyle w:val="FirstParagraph"/>
      </w:pPr>
      <w:r>
        <w:t xml:space="preserve">All participants will provide informed consent prior to involvement. Personal data will be anonymized and handled in compliance with Japan’s Act on the Protection of Personal Information (APPI). Operators may withdraw from the experiment at any time without penalty.</w:t>
      </w:r>
    </w:p>
    <w:bookmarkEnd w:id="34"/>
    <w:bookmarkStart w:id="35" w:name="reporting-and-deliverables"/>
    <w:p>
      <w:pPr>
        <w:pStyle w:val="Heading2"/>
      </w:pPr>
      <w:r>
        <w:t xml:space="preserve">7. Reporting and Deliverables</w:t>
      </w:r>
    </w:p>
    <w:p>
      <w:pPr>
        <w:pStyle w:val="FirstParagraph"/>
      </w:pPr>
      <w:r>
        <w:t xml:space="preserve">A comprehensive report will be generated within 10 business days after the experiment concludes. The report will include:</w:t>
      </w:r>
    </w:p>
    <w:p>
      <w:pPr>
        <w:numPr>
          <w:ilvl w:val="0"/>
          <w:numId w:val="1006"/>
        </w:numPr>
        <w:pStyle w:val="Compact"/>
      </w:pPr>
      <w:r>
        <w:t xml:space="preserve">Executive summary</w:t>
      </w:r>
    </w:p>
    <w:p>
      <w:pPr>
        <w:numPr>
          <w:ilvl w:val="0"/>
          <w:numId w:val="1006"/>
        </w:numPr>
        <w:pStyle w:val="Compact"/>
      </w:pPr>
      <w:r>
        <w:t xml:space="preserve">Detailed methodology</w:t>
      </w:r>
    </w:p>
    <w:p>
      <w:pPr>
        <w:numPr>
          <w:ilvl w:val="0"/>
          <w:numId w:val="1006"/>
        </w:numPr>
        <w:pStyle w:val="Compact"/>
      </w:pPr>
      <w:r>
        <w:t xml:space="preserve">Data analysis and visualizations</w:t>
      </w:r>
    </w:p>
    <w:p>
      <w:pPr>
        <w:numPr>
          <w:ilvl w:val="0"/>
          <w:numId w:val="1006"/>
        </w:numPr>
        <w:pStyle w:val="Compact"/>
      </w:pPr>
      <w:r>
        <w:t xml:space="preserve">Recommendations for Baker optimization in Japan Kyoto</w:t>
      </w:r>
    </w:p>
    <w:p>
      <w:pPr>
        <w:numPr>
          <w:ilvl w:val="0"/>
          <w:numId w:val="1006"/>
        </w:numPr>
        <w:pStyle w:val="Compact"/>
      </w:pPr>
      <w:r>
        <w:t xml:space="preserve">Appendices with raw data and survey responses</w:t>
      </w:r>
    </w:p>
    <w:bookmarkEnd w:id="35"/>
    <w:bookmarkStart w:id="36" w:name="approval-and-signatures"/>
    <w:p>
      <w:pPr>
        <w:pStyle w:val="Heading2"/>
      </w:pPr>
      <w:r>
        <w:t xml:space="preserve">8. Approval and Signatures</w:t>
      </w:r>
    </w:p>
    <w:p>
      <w:pPr>
        <w:pStyle w:val="FirstParagraph"/>
      </w:pPr>
      <w:r>
        <w:t xml:space="preserve">This Experiment Protocol has been reviewed and approved by the following stakeholders: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[Name]</w:t>
            </w:r>
          </w:p>
        </w:tc>
        <w:tc>
          <w:tcPr/>
          <w:p>
            <w:pPr>
              <w:pStyle w:val="Compact"/>
              <w:jc w:val="left"/>
            </w:pPr>
            <w:r>
              <w:t xml:space="preserve">Project Lead</w:t>
            </w:r>
          </w:p>
        </w:tc>
        <w:tc>
          <w:tcPr/>
          <w:p>
            <w:pPr>
              <w:pStyle w:val="Compact"/>
            </w:pPr>
          </w:p>
        </w:tc>
        <w:tc>
          <w:tcPr/>
          <w:p>
            <w:pPr>
              <w:pStyle w:val="Compact"/>
            </w:pPr>
          </w:p>
        </w:tc>
      </w:tr>
      <w:tr>
        <w:tc>
          <w:tcPr/>
          <w:p>
            <w:pPr>
              <w:pStyle w:val="Compact"/>
              <w:jc w:val="left"/>
            </w:pPr>
            <w:r>
              <w:t xml:space="preserve">[Name]</w:t>
            </w:r>
          </w:p>
        </w:tc>
        <w:tc>
          <w:tcPr/>
          <w:p>
            <w:pPr>
              <w:pStyle w:val="Compact"/>
              <w:jc w:val="left"/>
            </w:pPr>
            <w:r>
              <w:t xml:space="preserve">Technical Director</w:t>
            </w:r>
          </w:p>
        </w:tc>
        <w:tc>
          <w:tcPr/>
          <w:p>
            <w:pPr>
              <w:pStyle w:val="Compact"/>
            </w:pPr>
          </w:p>
        </w:tc>
        <w:tc>
          <w:tcPr/>
          <w:p>
            <w:pPr>
              <w:pStyle w:val="Compact"/>
            </w:pPr>
          </w:p>
        </w:tc>
      </w:tr>
      <w:tr>
        <w:tc>
          <w:tcPr/>
          <w:p>
            <w:pPr>
              <w:pStyle w:val="Compact"/>
              <w:jc w:val="left"/>
            </w:pPr>
            <w:r>
              <w:t xml:space="preserve">[Name]</w:t>
            </w:r>
          </w:p>
        </w:tc>
        <w:tc>
          <w:tcPr/>
          <w:p>
            <w:pPr>
              <w:pStyle w:val="Compact"/>
              <w:jc w:val="left"/>
            </w:pPr>
            <w:r>
              <w:t xml:space="preserve">Compliance Officer</w:t>
            </w:r>
          </w:p>
        </w:tc>
        <w:tc>
          <w:tcPr/>
          <w:p>
            <w:pPr>
              <w:pStyle w:val="Compact"/>
            </w:pPr>
          </w:p>
        </w:tc>
        <w:tc>
          <w:tcPr/>
          <w:p>
            <w:pPr>
              <w:pStyle w:val="Compact"/>
            </w:pPr>
          </w:p>
        </w:tc>
      </w:tr>
    </w:tbl>
    <w:bookmarkEnd w:id="36"/>
    <w:p>
      <w:pPr>
        <w:pStyle w:val="BodyText"/>
      </w:pPr>
      <w:r>
        <w:t xml:space="preserve">© 2023 Baker Research Initiative. All rights reserved. This document is confidential and intended solely for authorized personnel involved in the Baker experiment in Japan Kyoto.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in Japan Kyoto</dc:title>
  <dc:creator/>
  <dc:language>en</dc:language>
  <cp:keywords/>
  <dcterms:created xsi:type="dcterms:W3CDTF">2026-10-10T03:37:21Z</dcterms:created>
  <dcterms:modified xsi:type="dcterms:W3CDTF">2026-10-10T03:37:21Z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