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experiment-protocol-baker"/>
    <w:p>
      <w:pPr>
        <w:pStyle w:val="Heading1"/>
      </w:pPr>
      <w:r>
        <w:t xml:space="preserve">Experiment Protocol: Baker</w:t>
      </w:r>
    </w:p>
    <w:p>
      <w:pPr>
        <w:pStyle w:val="FirstParagraph"/>
      </w:pPr>
      <w:r>
        <w:t xml:space="preserve">Location: United Kingdom London</w:t>
      </w:r>
    </w:p>
    <w:p>
      <w:pPr>
        <w:pStyle w:val="BodyText"/>
      </w:pPr>
      <w:r>
        <w:t xml:space="preserve">Date: October 2023</w:t>
      </w:r>
    </w:p>
    <w:p>
      <w:pPr>
        <w:pStyle w:val="BodyText"/>
      </w:pPr>
      <w:r>
        <w:t xml:space="preserve">Version: 1.0</w:t>
      </w:r>
    </w:p>
    <w:bookmarkEnd w:id="20"/>
    <w:p>
      <w:pPr>
        <w:pStyle w:val="BodyText"/>
      </w:pPr>
      <w:r>
        <w:t xml:space="preserve">1. Introduction</w:t>
      </w:r>
    </w:p>
    <w:p>
      <w:pPr>
        <w:pStyle w:val="BodyText"/>
      </w:pPr>
      <w:r>
        <w:t xml:space="preserve">This Experiment Protocol outlines the procedures and guidelines for conducting a controlled experiment involving a Baker in the United Kingdom London. The primary objective is to evaluate the impact of specific baking techniques on the quality and consistency of bread products. This protocol ensures that all procedures are standardized, reproducible, and compliant with local regulations.</w:t>
      </w:r>
    </w:p>
    <w:p>
      <w:pPr>
        <w:pStyle w:val="BodyText"/>
      </w:pPr>
      <w:r>
        <w:t xml:space="preserve">2. Objectives</w:t>
      </w:r>
    </w:p>
    <w:p>
      <w:pPr>
        <w:numPr>
          <w:ilvl w:val="0"/>
          <w:numId w:val="1001"/>
        </w:numPr>
        <w:pStyle w:val="Compact"/>
      </w:pPr>
      <w:r>
        <w:t xml:space="preserve">To assess the effect of different kneading methods on dough elasticity.</w:t>
      </w:r>
    </w:p>
    <w:p>
      <w:pPr>
        <w:numPr>
          <w:ilvl w:val="0"/>
          <w:numId w:val="1001"/>
        </w:numPr>
        <w:pStyle w:val="Compact"/>
      </w:pPr>
      <w:r>
        <w:t xml:space="preserve">To determine the optimal fermentation time for achieving desired bread texture.</w:t>
      </w:r>
    </w:p>
    <w:p>
      <w:pPr>
        <w:numPr>
          <w:ilvl w:val="0"/>
          <w:numId w:val="1001"/>
        </w:numPr>
        <w:pStyle w:val="Compact"/>
      </w:pPr>
      <w:r>
        <w:t xml:space="preserve">To evaluate the influence of oven temperature on crust formation.</w:t>
      </w:r>
    </w:p>
    <w:p>
      <w:pPr>
        <w:numPr>
          <w:ilvl w:val="0"/>
          <w:numId w:val="1001"/>
        </w:numPr>
        <w:pStyle w:val="Compact"/>
      </w:pPr>
      <w:r>
        <w:t xml:space="preserve">To ensure all processes adhere to food safety standards in the United Kingdom London.</w:t>
      </w:r>
    </w:p>
    <w:p>
      <w:pPr>
        <w:pStyle w:val="FirstParagraph"/>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Flour</w:t>
            </w:r>
          </w:p>
        </w:tc>
        <w:tc>
          <w:tcPr/>
          <w:p>
            <w:pPr>
              <w:pStyle w:val="Compact"/>
              <w:jc w:val="left"/>
            </w:pPr>
            <w:r>
              <w:t xml:space="preserve">10 kg</w:t>
            </w:r>
          </w:p>
        </w:tc>
        <w:tc>
          <w:tcPr/>
          <w:p>
            <w:pPr>
              <w:pStyle w:val="Compact"/>
              <w:jc w:val="left"/>
            </w:pPr>
            <w:r>
              <w:t xml:space="preserve">Strong white bread flour, UK standard</w:t>
            </w:r>
          </w:p>
        </w:tc>
      </w:tr>
      <w:tr>
        <w:tc>
          <w:tcPr/>
          <w:p>
            <w:pPr>
              <w:pStyle w:val="Compact"/>
              <w:jc w:val="left"/>
            </w:pPr>
            <w:r>
              <w:t xml:space="preserve">Water</w:t>
            </w:r>
          </w:p>
        </w:tc>
        <w:tc>
          <w:tcPr/>
          <w:p>
            <w:pPr>
              <w:pStyle w:val="Compact"/>
              <w:jc w:val="left"/>
            </w:pPr>
            <w:r>
              <w:t xml:space="preserve">5 liters</w:t>
            </w:r>
          </w:p>
        </w:tc>
        <w:tc>
          <w:tcPr/>
          <w:p>
            <w:pPr>
              <w:pStyle w:val="Compact"/>
              <w:jc w:val="left"/>
            </w:pPr>
            <w:r>
              <w:t xml:space="preserve">Potable, filtered</w:t>
            </w:r>
          </w:p>
        </w:tc>
      </w:tr>
      <w:tr>
        <w:tc>
          <w:tcPr/>
          <w:p>
            <w:pPr>
              <w:pStyle w:val="Compact"/>
              <w:jc w:val="left"/>
            </w:pPr>
            <w:r>
              <w:t xml:space="preserve">Yeast</w:t>
            </w:r>
          </w:p>
        </w:tc>
        <w:tc>
          <w:tcPr/>
          <w:p>
            <w:pPr>
              <w:pStyle w:val="Compact"/>
              <w:jc w:val="left"/>
            </w:pPr>
            <w:r>
              <w:t xml:space="preserve">500 g</w:t>
            </w:r>
          </w:p>
        </w:tc>
        <w:tc>
          <w:tcPr/>
          <w:p>
            <w:pPr>
              <w:pStyle w:val="Compact"/>
              <w:jc w:val="left"/>
            </w:pPr>
            <w:r>
              <w:t xml:space="preserve">Active dry yeast</w:t>
            </w:r>
          </w:p>
        </w:tc>
      </w:tr>
      <w:tr>
        <w:tc>
          <w:tcPr/>
          <w:p>
            <w:pPr>
              <w:pStyle w:val="Compact"/>
              <w:jc w:val="left"/>
            </w:pPr>
            <w:r>
              <w:t xml:space="preserve">Salt</w:t>
            </w:r>
          </w:p>
        </w:tc>
        <w:tc>
          <w:tcPr/>
          <w:p>
            <w:pPr>
              <w:pStyle w:val="Compact"/>
              <w:jc w:val="left"/>
            </w:pPr>
            <w:r>
              <w:t xml:space="preserve">200 g</w:t>
            </w:r>
          </w:p>
        </w:tc>
        <w:tc>
          <w:tcPr/>
          <w:p>
            <w:pPr>
              <w:pStyle w:val="Compact"/>
              <w:jc w:val="left"/>
            </w:pPr>
            <w:r>
              <w:t xml:space="preserve">Fine sea salt</w:t>
            </w:r>
          </w:p>
        </w:tc>
      </w:tr>
      <w:tr>
        <w:tc>
          <w:tcPr/>
          <w:p>
            <w:pPr>
              <w:pStyle w:val="Compact"/>
              <w:jc w:val="left"/>
            </w:pPr>
            <w:r>
              <w:t xml:space="preserve">Mixing Bowl</w:t>
            </w:r>
          </w:p>
        </w:tc>
        <w:tc>
          <w:tcPr/>
          <w:p>
            <w:pPr>
              <w:pStyle w:val="Compact"/>
              <w:jc w:val="left"/>
            </w:pPr>
            <w:r>
              <w:t xml:space="preserve">5</w:t>
            </w:r>
          </w:p>
        </w:tc>
        <w:tc>
          <w:tcPr/>
          <w:p>
            <w:pPr>
              <w:pStyle w:val="Compact"/>
              <w:jc w:val="left"/>
            </w:pPr>
            <w:r>
              <w:t xml:space="preserve">Stainless steel, 10L capacity</w:t>
            </w:r>
          </w:p>
        </w:tc>
      </w:tr>
      <w:tr>
        <w:tc>
          <w:tcPr/>
          <w:p>
            <w:pPr>
              <w:pStyle w:val="Compact"/>
              <w:jc w:val="left"/>
            </w:pPr>
            <w:r>
              <w:t xml:space="preserve">Oven</w:t>
            </w:r>
          </w:p>
        </w:tc>
        <w:tc>
          <w:tcPr/>
          <w:p>
            <w:pPr>
              <w:pStyle w:val="Compact"/>
              <w:jc w:val="left"/>
            </w:pPr>
            <w:r>
              <w:t xml:space="preserve">1</w:t>
            </w:r>
          </w:p>
        </w:tc>
        <w:tc>
          <w:tcPr/>
          <w:p>
            <w:pPr>
              <w:pStyle w:val="Compact"/>
              <w:jc w:val="left"/>
            </w:pPr>
            <w:r>
              <w:t xml:space="preserve">Commercial, temperature range 150-250°C</w:t>
            </w:r>
          </w:p>
        </w:tc>
      </w:tr>
      <w:tr>
        <w:tc>
          <w:tcPr/>
          <w:p>
            <w:pPr>
              <w:pStyle w:val="Compact"/>
              <w:jc w:val="left"/>
            </w:pPr>
            <w:r>
              <w:t xml:space="preserve">Thermometer</w:t>
            </w:r>
          </w:p>
        </w:tc>
        <w:tc>
          <w:tcPr/>
          <w:p>
            <w:pPr>
              <w:pStyle w:val="Compact"/>
              <w:jc w:val="left"/>
            </w:pPr>
            <w:r>
              <w:t xml:space="preserve">2</w:t>
            </w:r>
          </w:p>
        </w:tc>
        <w:tc>
          <w:tcPr/>
          <w:p>
            <w:pPr>
              <w:pStyle w:val="Compact"/>
              <w:jc w:val="left"/>
            </w:pPr>
            <w:r>
              <w:t xml:space="preserve">Digital, accuracy ±1°C</w:t>
            </w:r>
          </w:p>
        </w:tc>
      </w:tr>
      <w:tr>
        <w:tc>
          <w:tcPr/>
          <w:p>
            <w:pPr>
              <w:pStyle w:val="Compact"/>
              <w:jc w:val="left"/>
            </w:pPr>
            <w:r>
              <w:t xml:space="preserve">Timer</w:t>
            </w:r>
          </w:p>
        </w:tc>
        <w:tc>
          <w:tcPr/>
          <w:p>
            <w:pPr>
              <w:pStyle w:val="Compact"/>
              <w:jc w:val="left"/>
            </w:pPr>
            <w:r>
              <w:t xml:space="preserve">1</w:t>
            </w:r>
          </w:p>
        </w:tc>
        <w:tc>
          <w:tcPr/>
          <w:p>
            <w:pPr>
              <w:pStyle w:val="Compact"/>
              <w:jc w:val="left"/>
            </w:pPr>
            <w:r>
              <w:t xml:space="preserve">Digital, programmable</w:t>
            </w:r>
          </w:p>
        </w:tc>
      </w:tr>
    </w:tbl>
    <w:p>
      <w:pPr>
        <w:pStyle w:val="BodyText"/>
      </w:pPr>
      <w:r>
        <w:t xml:space="preserve">4. Procedure</w:t>
      </w:r>
    </w:p>
    <w:p>
      <w:pPr>
        <w:pStyle w:val="BodyText"/>
      </w:pPr>
      <w:r>
        <w:t xml:space="preserve">The experiment will be conducted by a qualified Baker operating within a licensed kitchen facility in the United Kingdom London. The following steps must be followed precisely:</w:t>
      </w:r>
    </w:p>
    <w:p>
      <w:pPr>
        <w:numPr>
          <w:ilvl w:val="0"/>
          <w:numId w:val="1002"/>
        </w:numPr>
        <w:pStyle w:val="Compact"/>
      </w:pPr>
      <w:r>
        <w:rPr>
          <w:bCs/>
          <w:b/>
        </w:rPr>
        <w:t xml:space="preserve">Preparation:</w:t>
      </w:r>
      <w:r>
        <w:t xml:space="preserve"> </w:t>
      </w:r>
      <w:r>
        <w:t xml:space="preserve">Ensure all equipment is clean and sanitized. Measure ingredients accurately using calibrated scales.</w:t>
      </w:r>
    </w:p>
    <w:p>
      <w:pPr>
        <w:numPr>
          <w:ilvl w:val="0"/>
          <w:numId w:val="1002"/>
        </w:numPr>
        <w:pStyle w:val="Compact"/>
      </w:pPr>
      <w:r>
        <w:rPr>
          <w:bCs/>
          <w:b/>
        </w:rPr>
        <w:t xml:space="preserve">Mixing:</w:t>
      </w:r>
      <w:r>
        <w:t xml:space="preserve"> </w:t>
      </w:r>
      <w:r>
        <w:t xml:space="preserve">Combine flour, water, yeast, and salt in the mixing bowl. Use three different kneading techniques: hand kneading, machine kneading at low speed, and machine kneading at high speed.</w:t>
      </w:r>
    </w:p>
    <w:p>
      <w:pPr>
        <w:numPr>
          <w:ilvl w:val="0"/>
          <w:numId w:val="1002"/>
        </w:numPr>
        <w:pStyle w:val="Compact"/>
      </w:pPr>
      <w:r>
        <w:rPr>
          <w:bCs/>
          <w:b/>
        </w:rPr>
        <w:t xml:space="preserve">Fermentation:</w:t>
      </w:r>
      <w:r>
        <w:t xml:space="preserve"> </w:t>
      </w:r>
      <w:r>
        <w:t xml:space="preserve">Allow the dough to ferment for three different durations: 1 hour, 2 hours, and 3 hours. Maintain a consistent temperature of 25°C.</w:t>
      </w:r>
    </w:p>
    <w:p>
      <w:pPr>
        <w:numPr>
          <w:ilvl w:val="0"/>
          <w:numId w:val="1002"/>
        </w:numPr>
        <w:pStyle w:val="Compact"/>
      </w:pPr>
      <w:r>
        <w:rPr>
          <w:bCs/>
          <w:b/>
        </w:rPr>
        <w:t xml:space="preserve">Shaping:</w:t>
      </w:r>
      <w:r>
        <w:t xml:space="preserve"> </w:t>
      </w:r>
      <w:r>
        <w:t xml:space="preserve">Shape the dough into loaves of uniform size and weight.</w:t>
      </w:r>
    </w:p>
    <w:p>
      <w:pPr>
        <w:numPr>
          <w:ilvl w:val="0"/>
          <w:numId w:val="1002"/>
        </w:numPr>
        <w:pStyle w:val="Compact"/>
      </w:pPr>
      <w:r>
        <w:rPr>
          <w:bCs/>
          <w:b/>
        </w:rPr>
        <w:t xml:space="preserve">Baking:</w:t>
      </w:r>
      <w:r>
        <w:t xml:space="preserve"> </w:t>
      </w:r>
      <w:r>
        <w:t xml:space="preserve">Bake the loaves in the oven at three different temperatures: 180°C, 200°C, and 220°C. Monitor the baking process closely.</w:t>
      </w:r>
    </w:p>
    <w:p>
      <w:pPr>
        <w:numPr>
          <w:ilvl w:val="0"/>
          <w:numId w:val="1002"/>
        </w:numPr>
        <w:pStyle w:val="Compact"/>
      </w:pPr>
      <w:r>
        <w:rPr>
          <w:bCs/>
          <w:b/>
        </w:rPr>
        <w:t xml:space="preserve">Cooling:</w:t>
      </w:r>
      <w:r>
        <w:t xml:space="preserve"> </w:t>
      </w:r>
      <w:r>
        <w:t xml:space="preserve">Allow the bread to cool to room temperature before evaluation.</w:t>
      </w:r>
    </w:p>
    <w:p>
      <w:pPr>
        <w:pStyle w:val="FirstParagraph"/>
      </w:pPr>
      <w:r>
        <w:t xml:space="preserve">5. Data Collection</w:t>
      </w:r>
    </w:p>
    <w:p>
      <w:pPr>
        <w:pStyle w:val="BodyText"/>
      </w:pPr>
      <w:r>
        <w:t xml:space="preserve">Data will be collected at each stage of the experiment to ensure comprehensive analysis. The following parameters will be recorded:</w:t>
      </w:r>
    </w:p>
    <w:p>
      <w:pPr>
        <w:numPr>
          <w:ilvl w:val="0"/>
          <w:numId w:val="1003"/>
        </w:numPr>
        <w:pStyle w:val="Compact"/>
      </w:pPr>
      <w:r>
        <w:t xml:space="preserve">Dough elasticity after kneading.</w:t>
      </w:r>
    </w:p>
    <w:p>
      <w:pPr>
        <w:numPr>
          <w:ilvl w:val="0"/>
          <w:numId w:val="1003"/>
        </w:numPr>
        <w:pStyle w:val="Compact"/>
      </w:pPr>
      <w:r>
        <w:t xml:space="preserve">Volume increase during fermentation.</w:t>
      </w:r>
    </w:p>
    <w:p>
      <w:pPr>
        <w:numPr>
          <w:ilvl w:val="0"/>
          <w:numId w:val="1003"/>
        </w:numPr>
        <w:pStyle w:val="Compact"/>
      </w:pPr>
      <w:r>
        <w:t xml:space="preserve">Crust color and thickness after baking.</w:t>
      </w:r>
    </w:p>
    <w:p>
      <w:pPr>
        <w:numPr>
          <w:ilvl w:val="0"/>
          <w:numId w:val="1003"/>
        </w:numPr>
        <w:pStyle w:val="Compact"/>
      </w:pPr>
      <w:r>
        <w:t xml:space="preserve">Internal crumb structure and texture.</w:t>
      </w:r>
    </w:p>
    <w:p>
      <w:pPr>
        <w:numPr>
          <w:ilvl w:val="0"/>
          <w:numId w:val="1003"/>
        </w:numPr>
        <w:pStyle w:val="Compact"/>
      </w:pPr>
      <w:r>
        <w:t xml:space="preserve">Sensory evaluation by a panel of trained tasters.</w:t>
      </w:r>
    </w:p>
    <w:p>
      <w:pPr>
        <w:pStyle w:val="FirstParagraph"/>
      </w:pPr>
      <w:r>
        <w:t xml:space="preserve">6. Safety and Compliance</w:t>
      </w:r>
    </w:p>
    <w:p>
      <w:pPr>
        <w:pStyle w:val="BodyText"/>
      </w:pPr>
      <w:r>
        <w:t xml:space="preserve">All procedures must comply with the food safety regulations set by the Food Standards Agency (FSA) in the United Kingdom London. The Baker must wear appropriate personal protective equipment (PPE), including gloves, aprons, and hairnets. Regular handwashing and surface sanitization are mandatory to prevent contamination.</w:t>
      </w:r>
    </w:p>
    <w:p>
      <w:pPr>
        <w:pStyle w:val="BodyText"/>
      </w:pPr>
      <w:r>
        <w:t xml:space="preserve">7. Analysis and Reporting</w:t>
      </w:r>
    </w:p>
    <w:p>
      <w:pPr>
        <w:pStyle w:val="BodyText"/>
      </w:pPr>
      <w:r>
        <w:t xml:space="preserve">Upon completion of the experiment, data will be analyzed to determine the most effective baking techniques. Results will be compiled into a detailed report, including statistical analysis and recommendations for future experiments. The report will be submitted to the relevant stakeholders within two weeks of the experiment's conclusion.</w:t>
      </w:r>
    </w:p>
    <w:p>
      <w:pPr>
        <w:pStyle w:val="BodyText"/>
      </w:pPr>
      <w:r>
        <w:t xml:space="preserve">8. Conclusion</w:t>
      </w:r>
    </w:p>
    <w:p>
      <w:pPr>
        <w:pStyle w:val="BodyText"/>
      </w:pPr>
      <w:r>
        <w:t xml:space="preserve">This Experiment Protocol provides a structured approach to evaluating baking techniques in the United Kingdom London. By adhering to these guidelines, the Baker can ensure that the experiment is conducted efficiently, safely, and in compliance with local regulations. The findings will contribute to the advancement of baking practices and product quality.</w:t>
      </w:r>
    </w:p>
    <w:p>
      <w:pPr>
        <w:pStyle w:val="BodyText"/>
      </w:pPr>
      <w:r>
        <w:t xml:space="preserve">Prepared by: [Your Name]</w:t>
      </w:r>
    </w:p>
    <w:p>
      <w:pPr>
        <w:pStyle w:val="BodyText"/>
      </w:pPr>
      <w:r>
        <w:t xml:space="preserve">Position: Lead Researcher</w:t>
      </w:r>
    </w:p>
    <w:p>
      <w:pPr>
        <w:pStyle w:val="BodyText"/>
      </w:pPr>
      <w:r>
        <w:t xml:space="preserve">Contact: [Your Email]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United Kingdom London</dc:title>
  <dc:creator/>
  <dc:language>en</dc:language>
  <cp:keywords/>
  <dcterms:created xsi:type="dcterms:W3CDTF">2026-10-10T02:58:08Z</dcterms:created>
  <dcterms:modified xsi:type="dcterms:W3CDTF">2026-10-10T02:58:08Z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