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United Kingdom Manchester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methodologies, and safety measures for conducting experiments involving the Baker system in the United Kingdom Manchester region. The Baker system is designed to optimize baking processes through advanced automation and data analytics. This protocol ensures consistency, safety, and compliance with local regulations in Manchester, United Kingdom.</w:t>
      </w:r>
    </w:p>
    <w:p>
      <w:pPr>
        <w:pStyle w:val="BodyText"/>
      </w:pPr>
      <w:r>
        <w:t xml:space="preserve">2. Objectives</w:t>
      </w:r>
    </w:p>
    <w:p>
      <w:pPr>
        <w:numPr>
          <w:ilvl w:val="0"/>
          <w:numId w:val="1001"/>
        </w:numPr>
        <w:pStyle w:val="Compact"/>
      </w:pPr>
      <w:r>
        <w:t xml:space="preserve">To evaluate the performance of the Baker system under controlled conditions in Manchester.</w:t>
      </w:r>
    </w:p>
    <w:p>
      <w:pPr>
        <w:numPr>
          <w:ilvl w:val="0"/>
          <w:numId w:val="1001"/>
        </w:numPr>
        <w:pStyle w:val="Compact"/>
      </w:pPr>
      <w:r>
        <w:t xml:space="preserve">To assess the impact of environmental factors specific to the United Kingdom Manchester climate on baking outcomes.</w:t>
      </w:r>
    </w:p>
    <w:p>
      <w:pPr>
        <w:numPr>
          <w:ilvl w:val="0"/>
          <w:numId w:val="1001"/>
        </w:numPr>
        <w:pStyle w:val="Compact"/>
      </w:pPr>
      <w:r>
        <w:t xml:space="preserve">To ensure compliance with UK food safety and operational standards.</w:t>
      </w:r>
    </w:p>
    <w:p>
      <w:pPr>
        <w:numPr>
          <w:ilvl w:val="0"/>
          <w:numId w:val="1001"/>
        </w:numPr>
        <w:pStyle w:val="Compact"/>
      </w:pPr>
      <w:r>
        <w:t xml:space="preserve">To gather data for improving the Baker system's efficiency and reliability.</w:t>
      </w:r>
    </w:p>
    <w:p>
      <w:pPr>
        <w:pStyle w:val="FirstParagraph"/>
      </w:pPr>
      <w:r>
        <w:t xml:space="preserve">3. Scope</w:t>
      </w:r>
    </w:p>
    <w:p>
      <w:pPr>
        <w:pStyle w:val="BodyText"/>
      </w:pPr>
      <w:r>
        <w:t xml:space="preserve">This protocol applies to all personnel involved in the operation, monitoring, and analysis of the Baker system experiments conducted in Manchester, United Kingdom. It covers setup, execution, data collection, and reporting phases.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Baker System Unit</w:t>
            </w:r>
          </w:p>
        </w:tc>
        <w:tc>
          <w:tcPr/>
          <w:p>
            <w:pPr>
              <w:pStyle w:val="Compact"/>
              <w:jc w:val="left"/>
            </w:pPr>
            <w:r>
              <w:t xml:space="preserve">1</w:t>
            </w:r>
          </w:p>
        </w:tc>
        <w:tc>
          <w:tcPr/>
          <w:p>
            <w:pPr>
              <w:pStyle w:val="Compact"/>
              <w:jc w:val="left"/>
            </w:pPr>
            <w:r>
              <w:t xml:space="preserve">Model BK-2023, calibrated for UK voltage (230V)</w:t>
            </w:r>
          </w:p>
        </w:tc>
      </w:tr>
      <w:tr>
        <w:tc>
          <w:tcPr/>
          <w:p>
            <w:pPr>
              <w:pStyle w:val="Compact"/>
              <w:jc w:val="left"/>
            </w:pPr>
            <w:r>
              <w:t xml:space="preserve">Flour</w:t>
            </w:r>
          </w:p>
        </w:tc>
        <w:tc>
          <w:tcPr/>
          <w:p>
            <w:pPr>
              <w:pStyle w:val="Compact"/>
              <w:jc w:val="left"/>
            </w:pPr>
            <w:r>
              <w:t xml:space="preserve">50 kg</w:t>
            </w:r>
          </w:p>
        </w:tc>
        <w:tc>
          <w:tcPr/>
          <w:p>
            <w:pPr>
              <w:pStyle w:val="Compact"/>
              <w:jc w:val="left"/>
            </w:pPr>
            <w:r>
              <w:t xml:space="preserve">UK-standard strong white flour</w:t>
            </w:r>
          </w:p>
        </w:tc>
      </w:tr>
      <w:tr>
        <w:tc>
          <w:tcPr/>
          <w:p>
            <w:pPr>
              <w:pStyle w:val="Compact"/>
              <w:jc w:val="left"/>
            </w:pPr>
            <w:r>
              <w:t xml:space="preserve">Yeast</w:t>
            </w:r>
          </w:p>
        </w:tc>
        <w:tc>
          <w:tcPr/>
          <w:p>
            <w:pPr>
              <w:pStyle w:val="Compact"/>
              <w:jc w:val="left"/>
            </w:pPr>
            <w:r>
              <w:t xml:space="preserve">5 kg</w:t>
            </w:r>
          </w:p>
        </w:tc>
        <w:tc>
          <w:tcPr/>
          <w:p>
            <w:pPr>
              <w:pStyle w:val="Compact"/>
              <w:jc w:val="left"/>
            </w:pPr>
            <w:r>
              <w:t xml:space="preserve">Active dry yeast, food-grade</w:t>
            </w:r>
          </w:p>
        </w:tc>
      </w:tr>
      <w:tr>
        <w:tc>
          <w:tcPr/>
          <w:p>
            <w:pPr>
              <w:pStyle w:val="Compact"/>
              <w:jc w:val="left"/>
            </w:pPr>
            <w:r>
              <w:t xml:space="preserve">Water</w:t>
            </w:r>
          </w:p>
        </w:tc>
        <w:tc>
          <w:tcPr/>
          <w:p>
            <w:pPr>
              <w:pStyle w:val="Compact"/>
              <w:jc w:val="left"/>
            </w:pPr>
            <w:r>
              <w:t xml:space="preserve">100 L</w:t>
            </w:r>
          </w:p>
        </w:tc>
        <w:tc>
          <w:tcPr/>
          <w:p>
            <w:pPr>
              <w:pStyle w:val="Compact"/>
              <w:jc w:val="left"/>
            </w:pPr>
            <w:r>
              <w:t xml:space="preserve">Potable, filtered</w:t>
            </w:r>
          </w:p>
        </w:tc>
      </w:tr>
      <w:tr>
        <w:tc>
          <w:tcPr/>
          <w:p>
            <w:pPr>
              <w:pStyle w:val="Compact"/>
              <w:jc w:val="left"/>
            </w:pPr>
            <w:r>
              <w:t xml:space="preserve">Salt</w:t>
            </w:r>
          </w:p>
        </w:tc>
        <w:tc>
          <w:tcPr/>
          <w:p>
            <w:pPr>
              <w:pStyle w:val="Compact"/>
              <w:jc w:val="left"/>
            </w:pPr>
            <w:r>
              <w:t xml:space="preserve">5 kg</w:t>
            </w:r>
          </w:p>
        </w:tc>
        <w:tc>
          <w:tcPr/>
          <w:p>
            <w:pPr>
              <w:pStyle w:val="Compact"/>
              <w:jc w:val="left"/>
            </w:pPr>
            <w:r>
              <w:t xml:space="preserve">Food-grade, iodized</w:t>
            </w:r>
          </w:p>
        </w:tc>
      </w:tr>
      <w:tr>
        <w:tc>
          <w:tcPr/>
          <w:p>
            <w:pPr>
              <w:pStyle w:val="Compact"/>
              <w:jc w:val="left"/>
            </w:pPr>
            <w:r>
              <w:t xml:space="preserve">Temperature Sensors</w:t>
            </w:r>
          </w:p>
        </w:tc>
        <w:tc>
          <w:tcPr/>
          <w:p>
            <w:pPr>
              <w:pStyle w:val="Compact"/>
              <w:jc w:val="left"/>
            </w:pPr>
            <w:r>
              <w:t xml:space="preserve">10</w:t>
            </w:r>
          </w:p>
        </w:tc>
        <w:tc>
          <w:tcPr/>
          <w:p>
            <w:pPr>
              <w:pStyle w:val="Compact"/>
              <w:jc w:val="left"/>
            </w:pPr>
            <w:r>
              <w:t xml:space="preserve">Calibrated, range -10°C to 300°C</w:t>
            </w:r>
          </w:p>
        </w:tc>
      </w:tr>
      <w:tr>
        <w:tc>
          <w:tcPr/>
          <w:p>
            <w:pPr>
              <w:pStyle w:val="Compact"/>
              <w:jc w:val="left"/>
            </w:pPr>
            <w:r>
              <w:t xml:space="preserve">Data Logger</w:t>
            </w:r>
          </w:p>
        </w:tc>
        <w:tc>
          <w:tcPr/>
          <w:p>
            <w:pPr>
              <w:pStyle w:val="Compact"/>
              <w:jc w:val="left"/>
            </w:pPr>
            <w:r>
              <w:t xml:space="preserve">1</w:t>
            </w:r>
          </w:p>
        </w:tc>
        <w:tc>
          <w:tcPr/>
          <w:p>
            <w:pPr>
              <w:pStyle w:val="Compact"/>
              <w:jc w:val="left"/>
            </w:pPr>
            <w:r>
              <w:t xml:space="preserve">Compatible with Baker system, UK-compliant</w:t>
            </w:r>
          </w:p>
        </w:tc>
      </w:tr>
    </w:tbl>
    <w:p>
      <w:pPr>
        <w:pStyle w:val="BodyText"/>
      </w:pPr>
      <w:r>
        <w:t xml:space="preserve">5. Experimental Setup</w:t>
      </w:r>
    </w:p>
    <w:p>
      <w:pPr>
        <w:pStyle w:val="BodyText"/>
      </w:pPr>
      <w:r>
        <w:t xml:space="preserve">The Baker system will be installed in a controlled laboratory environment in Manchester, United Kingdom. The room must maintain a temperature of 20°C ± 2°C and humidity of 50% ± 5%. All equipment must be calibrated according to UK standards before use. The Baker system will be connected to the data logger to record temperature, humidity, and baking cycle data.</w:t>
      </w:r>
    </w:p>
    <w:p>
      <w:pPr>
        <w:pStyle w:val="BodyText"/>
      </w:pPr>
      <w:r>
        <w:t xml:space="preserve">6. Procedure</w:t>
      </w:r>
    </w:p>
    <w:p>
      <w:pPr>
        <w:numPr>
          <w:ilvl w:val="0"/>
          <w:numId w:val="1002"/>
        </w:numPr>
        <w:pStyle w:val="Compact"/>
      </w:pPr>
      <w:r>
        <w:rPr>
          <w:bCs/>
          <w:b/>
        </w:rPr>
        <w:t xml:space="preserve">Preparation:</w:t>
      </w:r>
      <w:r>
        <w:t xml:space="preserve"> </w:t>
      </w:r>
      <w:r>
        <w:t xml:space="preserve">Ensure all materials are measured and prepared according to the recipe specifications. Verify that the Baker system is powered on and calibrated.</w:t>
      </w:r>
    </w:p>
    <w:p>
      <w:pPr>
        <w:numPr>
          <w:ilvl w:val="0"/>
          <w:numId w:val="1002"/>
        </w:numPr>
        <w:pStyle w:val="Compact"/>
      </w:pPr>
      <w:r>
        <w:rPr>
          <w:bCs/>
          <w:b/>
        </w:rPr>
        <w:t xml:space="preserve">Mixing:</w:t>
      </w:r>
      <w:r>
        <w:t xml:space="preserve"> </w:t>
      </w:r>
      <w:r>
        <w:t xml:space="preserve">Load flour, yeast, water, and salt into the Baker system's mixing chamber. Initiate the mixing cycle for 10 minutes.</w:t>
      </w:r>
    </w:p>
    <w:p>
      <w:pPr>
        <w:numPr>
          <w:ilvl w:val="0"/>
          <w:numId w:val="1002"/>
        </w:numPr>
        <w:pStyle w:val="Compact"/>
      </w:pPr>
      <w:r>
        <w:rPr>
          <w:bCs/>
          <w:b/>
        </w:rPr>
        <w:t xml:space="preserve">Fermentation:</w:t>
      </w:r>
      <w:r>
        <w:t xml:space="preserve"> </w:t>
      </w:r>
      <w:r>
        <w:t xml:space="preserve">Allow the dough to ferment in the Baker system's fermentation chamber for 60 minutes at 28°C.</w:t>
      </w:r>
    </w:p>
    <w:p>
      <w:pPr>
        <w:numPr>
          <w:ilvl w:val="0"/>
          <w:numId w:val="1002"/>
        </w:numPr>
        <w:pStyle w:val="Compact"/>
      </w:pPr>
      <w:r>
        <w:rPr>
          <w:bCs/>
          <w:b/>
        </w:rPr>
        <w:t xml:space="preserve">Shaping:</w:t>
      </w:r>
      <w:r>
        <w:t xml:space="preserve"> </w:t>
      </w:r>
      <w:r>
        <w:t xml:space="preserve">Remove the dough and shape it into loaves. Place the loaves on baking trays.</w:t>
      </w:r>
    </w:p>
    <w:p>
      <w:pPr>
        <w:numPr>
          <w:ilvl w:val="0"/>
          <w:numId w:val="1002"/>
        </w:numPr>
        <w:pStyle w:val="Compact"/>
      </w:pPr>
      <w:r>
        <w:rPr>
          <w:bCs/>
          <w:b/>
        </w:rPr>
        <w:t xml:space="preserve">Baking:</w:t>
      </w:r>
      <w:r>
        <w:t xml:space="preserve"> </w:t>
      </w:r>
      <w:r>
        <w:t xml:space="preserve">Load the trays into the Baker system's oven. Set the temperature to 220°C and bake for 25 minutes.</w:t>
      </w:r>
    </w:p>
    <w:p>
      <w:pPr>
        <w:numPr>
          <w:ilvl w:val="0"/>
          <w:numId w:val="1002"/>
        </w:numPr>
        <w:pStyle w:val="Compact"/>
      </w:pPr>
      <w:r>
        <w:rPr>
          <w:bCs/>
          <w:b/>
        </w:rPr>
        <w:t xml:space="preserve">Cooling:</w:t>
      </w:r>
      <w:r>
        <w:t xml:space="preserve"> </w:t>
      </w:r>
      <w:r>
        <w:t xml:space="preserve">Remove the baked loaves and allow them to cool for 30 minutes in a controlled environment.</w:t>
      </w:r>
    </w:p>
    <w:p>
      <w:pPr>
        <w:numPr>
          <w:ilvl w:val="0"/>
          <w:numId w:val="1002"/>
        </w:numPr>
        <w:pStyle w:val="Compact"/>
      </w:pPr>
      <w:r>
        <w:rPr>
          <w:bCs/>
          <w:b/>
        </w:rPr>
        <w:t xml:space="preserve">Data Collection:</w:t>
      </w:r>
      <w:r>
        <w:t xml:space="preserve"> </w:t>
      </w:r>
      <w:r>
        <w:t xml:space="preserve">Record all data from the data logger, including temperature, humidity, and baking cycle times.</w:t>
      </w:r>
    </w:p>
    <w:p>
      <w:pPr>
        <w:numPr>
          <w:ilvl w:val="0"/>
          <w:numId w:val="1002"/>
        </w:numPr>
        <w:pStyle w:val="Compact"/>
      </w:pPr>
      <w:r>
        <w:rPr>
          <w:bCs/>
          <w:b/>
        </w:rPr>
        <w:t xml:space="preserve">Analysis:</w:t>
      </w:r>
      <w:r>
        <w:t xml:space="preserve"> </w:t>
      </w:r>
      <w:r>
        <w:t xml:space="preserve">Evaluate the baked loaves for quality, texture, and consistency. Compare results with baseline data.</w:t>
      </w:r>
    </w:p>
    <w:p>
      <w:pPr>
        <w:pStyle w:val="FirstParagraph"/>
      </w:pPr>
      <w:r>
        <w:t xml:space="preserve">7. Safety Measures</w:t>
      </w:r>
    </w:p>
    <w:p>
      <w:pPr>
        <w:numPr>
          <w:ilvl w:val="0"/>
          <w:numId w:val="1003"/>
        </w:numPr>
        <w:pStyle w:val="Compact"/>
      </w:pPr>
      <w:r>
        <w:t xml:space="preserve">All personnel must wear appropriate personal protective equipment (PPE), including heat-resistant gloves and safety goggles.</w:t>
      </w:r>
    </w:p>
    <w:p>
      <w:pPr>
        <w:numPr>
          <w:ilvl w:val="0"/>
          <w:numId w:val="1003"/>
        </w:numPr>
        <w:pStyle w:val="Compact"/>
      </w:pPr>
      <w:r>
        <w:t xml:space="preserve">Ensure proper ventilation in the laboratory to prevent the buildup of heat and steam.</w:t>
      </w:r>
    </w:p>
    <w:p>
      <w:pPr>
        <w:numPr>
          <w:ilvl w:val="0"/>
          <w:numId w:val="1003"/>
        </w:numPr>
        <w:pStyle w:val="Compact"/>
      </w:pPr>
      <w:r>
        <w:t xml:space="preserve">Follow UK health and safety regulations for handling food-grade materials and operating electrical equipment.</w:t>
      </w:r>
    </w:p>
    <w:p>
      <w:pPr>
        <w:numPr>
          <w:ilvl w:val="0"/>
          <w:numId w:val="1003"/>
        </w:numPr>
        <w:pStyle w:val="Compact"/>
      </w:pPr>
      <w:r>
        <w:t xml:space="preserve">In case of emergency, follow the laboratory's evacuation procedures and contact local emergency services in Manchester.</w:t>
      </w:r>
    </w:p>
    <w:p>
      <w:pPr>
        <w:pStyle w:val="FirstParagraph"/>
      </w:pPr>
      <w:r>
        <w:t xml:space="preserve">8. Data Analysis and Reporting</w:t>
      </w:r>
    </w:p>
    <w:p>
      <w:pPr>
        <w:pStyle w:val="BodyText"/>
      </w:pPr>
      <w:r>
        <w:t xml:space="preserve">All data collected during the experiments will be analyzed using statistical methods to determine the performance of the Baker system. Results will be compiled into a report, including recommendations for system improvements. The report will be submitted to the project stakeholders in Manchester, United Kingdom.</w:t>
      </w:r>
    </w:p>
    <w:p>
      <w:pPr>
        <w:pStyle w:val="BodyText"/>
      </w:pPr>
      <w:r>
        <w:t xml:space="preserve">9. Compliance and Ethics</w:t>
      </w:r>
    </w:p>
    <w:p>
      <w:pPr>
        <w:pStyle w:val="BodyText"/>
      </w:pPr>
      <w:r>
        <w:t xml:space="preserve">This experiment protocol adheres to UK food safety standards, environmental regulations, and ethical guidelines for scientific research. All personnel involved must be trained in these standards and comply with them throughout the experiment.</w:t>
      </w:r>
    </w:p>
    <w:p>
      <w:pPr>
        <w:pStyle w:val="BodyText"/>
      </w:pPr>
      <w:r>
        <w:t xml:space="preserve">End of Document</w:t>
      </w:r>
    </w:p>
    <w:p>
      <w:pPr>
        <w:pStyle w:val="BodyText"/>
      </w:pPr>
      <w:r>
        <w:t xml:space="preserve">For further information, contact the Baker System Project Team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United Kingdom Manchester</dc:title>
  <dc:creator/>
  <dc:language>en</dc:language>
  <cp:keywords/>
  <dcterms:created xsi:type="dcterms:W3CDTF">2026-10-10T06:20:20Z</dcterms:created>
  <dcterms:modified xsi:type="dcterms:W3CDTF">2026-10-10T06:20:20Z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