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w:t>
      </w:r>
      <w:r>
        <w:t xml:space="preserve"> </w:t>
      </w:r>
      <w:r>
        <w:t xml:space="preserve">Argentina</w:t>
      </w:r>
      <w:r>
        <w:t xml:space="preserve"> </w:t>
      </w:r>
      <w:r>
        <w:t xml:space="preserve">Buenos</w:t>
      </w:r>
      <w:r>
        <w:t xml:space="preserve"> </w:t>
      </w:r>
      <w:r>
        <w:t xml:space="preserve">Aires</w:t>
      </w:r>
    </w:p>
    <w:bookmarkStart w:id="20" w:name="experiment-protocol-banker"/>
    <w:p>
      <w:pPr>
        <w:pStyle w:val="Heading1"/>
      </w:pPr>
      <w:r>
        <w:t xml:space="preserve">Experiment Protocol: Banker</w:t>
      </w:r>
    </w:p>
    <w:p>
      <w:pPr>
        <w:pStyle w:val="FirstParagraph"/>
      </w:pPr>
      <w:r>
        <w:rPr>
          <w:bCs/>
          <w:b/>
        </w:rPr>
        <w:t xml:space="preserve">Location:</w:t>
      </w:r>
      <w:r>
        <w:t xml:space="preserve"> </w:t>
      </w:r>
      <w:r>
        <w:t xml:space="preserve">Argentina Buenos Aires</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Principal Investigator:</w:t>
      </w:r>
      <w:r>
        <w:t xml:space="preserve"> </w:t>
      </w:r>
      <w:r>
        <w:t xml:space="preserve">[Name Redacted]</w:t>
      </w:r>
    </w:p>
    <w:bookmarkEnd w:id="20"/>
    <w:bookmarkStart w:id="21" w:name="introduction-and-background"/>
    <w:p>
      <w:pPr>
        <w:pStyle w:val="Heading2"/>
      </w:pPr>
      <w:r>
        <w:t xml:space="preserve">1. Introduction and Background</w:t>
      </w:r>
    </w:p>
    <w:p>
      <w:pPr>
        <w:pStyle w:val="FirstParagraph"/>
      </w:pPr>
      <w:r>
        <w:t xml:space="preserve">This document outlines the comprehensive Experiment Protocol for the "Banker" initiative, designed specifically for implementation within the financial ecosystem of Argentina Buenos Aires. The "Banker" experiment aims to evaluate the efficacy of a decentralized, algorithmic credit allocation system compared to traditional banking models prevalent in the region.</w:t>
      </w:r>
    </w:p>
    <w:p>
      <w:pPr>
        <w:pStyle w:val="BodyText"/>
      </w:pPr>
      <w:r>
        <w:t xml:space="preserve">Argentina Buenos Aires presents a unique economic landscape characterized by high inflation rates, currency volatility, and a complex regulatory environment. These factors make it an ideal testing ground for innovative financial technologies that can provide stability and accessibility. The "Banker" system utilizes advanced machine learning algorithms to assess creditworthiness, manage risk, and allocate funds in real-time, bypassing some of the inefficiencies inherent in traditional banking structures.</w:t>
      </w:r>
    </w:p>
    <w:bookmarkEnd w:id="21"/>
    <w:bookmarkStart w:id="22"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performance of the "Banker" algorithm in predicting credit risk among individuals and small businesses in Argentina Buenos Aires.</w:t>
      </w:r>
    </w:p>
    <w:p>
      <w:pPr>
        <w:numPr>
          <w:ilvl w:val="0"/>
          <w:numId w:val="1001"/>
        </w:numPr>
        <w:pStyle w:val="Compact"/>
      </w:pPr>
      <w:r>
        <w:t xml:space="preserve">To evaluate the user experience and adoption rate of the "Banker" platform among local residents.</w:t>
      </w:r>
    </w:p>
    <w:p>
      <w:pPr>
        <w:numPr>
          <w:ilvl w:val="0"/>
          <w:numId w:val="1001"/>
        </w:numPr>
        <w:pStyle w:val="Compact"/>
      </w:pPr>
      <w:r>
        <w:t xml:space="preserve">To analyze the impact of the "Banker" system on financial inclusion, particularly for underbanked populations.</w:t>
      </w:r>
    </w:p>
    <w:p>
      <w:pPr>
        <w:numPr>
          <w:ilvl w:val="0"/>
          <w:numId w:val="1001"/>
        </w:numPr>
        <w:pStyle w:val="Compact"/>
      </w:pPr>
      <w:r>
        <w:t xml:space="preserve">To ensure compliance with local regulations and ethical standards throughout the experiment.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experiment will employ a randomized controlled trial (RCT) design. Participants will be randomly assigned to either the treatment group, which will have access to the "Banker" platform, or the control group, which will continue to use traditional banking services. The study will be conducted over a period of 12 months.</w:t>
      </w:r>
    </w:p>
    <w:bookmarkEnd w:id="23"/>
    <w:bookmarkStart w:id="24" w:name="participant-selection"/>
    <w:p>
      <w:pPr>
        <w:pStyle w:val="Heading3"/>
      </w:pPr>
      <w:r>
        <w:t xml:space="preserve">3.2 Participant Selection</w:t>
      </w:r>
    </w:p>
    <w:p>
      <w:pPr>
        <w:pStyle w:val="FirstParagraph"/>
      </w:pPr>
      <w:r>
        <w:t xml:space="preserve">Participants will be recruited from various neighborhoods in Argentina Buenos Aires, ensuring a diverse sample in terms of socioeconomic status, age, and occupation. Inclusion criteria include:</w:t>
      </w:r>
    </w:p>
    <w:p>
      <w:pPr>
        <w:numPr>
          <w:ilvl w:val="0"/>
          <w:numId w:val="1002"/>
        </w:numPr>
        <w:pStyle w:val="Compact"/>
      </w:pPr>
      <w:r>
        <w:t xml:space="preserve">Residency in Argentina Buenos Aires for at least one year.</w:t>
      </w:r>
    </w:p>
    <w:p>
      <w:pPr>
        <w:numPr>
          <w:ilvl w:val="0"/>
          <w:numId w:val="1002"/>
        </w:numPr>
        <w:pStyle w:val="Compact"/>
      </w:pPr>
      <w:r>
        <w:t xml:space="preserve">Age 18 years or older.</w:t>
      </w:r>
    </w:p>
    <w:p>
      <w:pPr>
        <w:numPr>
          <w:ilvl w:val="0"/>
          <w:numId w:val="1002"/>
        </w:numPr>
        <w:pStyle w:val="Compact"/>
      </w:pPr>
      <w:r>
        <w:t xml:space="preserve">Active use of financial services (banking or informal).</w:t>
      </w:r>
    </w:p>
    <w:p>
      <w:pPr>
        <w:pStyle w:val="FirstParagraph"/>
      </w:pPr>
      <w:r>
        <w:t xml:space="preserve">Exclusion criteria include individuals with existing legal issues related to financial fraud or those who have participated in similar studies within the past two years.</w:t>
      </w:r>
    </w:p>
    <w:bookmarkEnd w:id="24"/>
    <w:bookmarkStart w:id="25" w:name="data-collection"/>
    <w:p>
      <w:pPr>
        <w:pStyle w:val="Heading3"/>
      </w:pPr>
      <w:r>
        <w:t xml:space="preserve">3.3 Data Collection</w:t>
      </w:r>
    </w:p>
    <w:p>
      <w:pPr>
        <w:pStyle w:val="FirstParagraph"/>
      </w:pPr>
      <w:r>
        <w:t xml:space="preserve">Data will be collected through multiple channels, including:</w:t>
      </w:r>
    </w:p>
    <w:p>
      <w:pPr>
        <w:numPr>
          <w:ilvl w:val="0"/>
          <w:numId w:val="1003"/>
        </w:numPr>
        <w:pStyle w:val="Compact"/>
      </w:pPr>
      <w:r>
        <w:t xml:space="preserve">Surveys administered at the beginning, midpoint, and end of the study.</w:t>
      </w:r>
    </w:p>
    <w:p>
      <w:pPr>
        <w:numPr>
          <w:ilvl w:val="0"/>
          <w:numId w:val="1003"/>
        </w:numPr>
        <w:pStyle w:val="Compact"/>
      </w:pPr>
      <w:r>
        <w:t xml:space="preserve">Transaction data from the "Banker" platform (with participant consent).</w:t>
      </w:r>
    </w:p>
    <w:p>
      <w:pPr>
        <w:numPr>
          <w:ilvl w:val="0"/>
          <w:numId w:val="1003"/>
        </w:numPr>
        <w:pStyle w:val="Compact"/>
      </w:pPr>
      <w:r>
        <w:t xml:space="preserve">Interviews with a subset of participants to gather qualitative insights.</w:t>
      </w:r>
    </w:p>
    <w:bookmarkEnd w:id="25"/>
    <w:bookmarkEnd w:id="26"/>
    <w:bookmarkStart w:id="30" w:name="procedures"/>
    <w:p>
      <w:pPr>
        <w:pStyle w:val="Heading2"/>
      </w:pPr>
      <w:r>
        <w:t xml:space="preserve">4. Procedures</w:t>
      </w:r>
    </w:p>
    <w:bookmarkStart w:id="27" w:name="recruitment-and-consent"/>
    <w:p>
      <w:pPr>
        <w:pStyle w:val="Heading3"/>
      </w:pPr>
      <w:r>
        <w:t xml:space="preserve">4.1 Recruitment and Consent</w:t>
      </w:r>
    </w:p>
    <w:p>
      <w:pPr>
        <w:pStyle w:val="FirstParagraph"/>
      </w:pPr>
      <w:r>
        <w:t xml:space="preserve">Recruitment will be conducted through community centers, social media, and partnerships with local organizations. Potential participants will be provided with detailed information about the study, including its purpose, procedures, risks, and benefits. Written informed consent will be obtained from all participants before enrollment.</w:t>
      </w:r>
    </w:p>
    <w:bookmarkEnd w:id="27"/>
    <w:bookmarkStart w:id="28" w:name="implementation-of-the-banker-platform"/>
    <w:p>
      <w:pPr>
        <w:pStyle w:val="Heading3"/>
      </w:pPr>
      <w:r>
        <w:t xml:space="preserve">4.2 Implementation of the "Banker" Platform</w:t>
      </w:r>
    </w:p>
    <w:p>
      <w:pPr>
        <w:pStyle w:val="FirstParagraph"/>
      </w:pPr>
      <w:r>
        <w:t xml:space="preserve">Participants in the treatment group will be onboarded onto the "Banker" platform, which will be accessible via a mobile application. The platform will guide users through the process of setting up their accounts, linking existing financial data, and accessing credit products. Training sessions will be offered to ensure users are comfortable with the technology.</w:t>
      </w:r>
    </w:p>
    <w:bookmarkEnd w:id="28"/>
    <w:bookmarkStart w:id="29" w:name="monitoring-and-support"/>
    <w:p>
      <w:pPr>
        <w:pStyle w:val="Heading3"/>
      </w:pPr>
      <w:r>
        <w:t xml:space="preserve">4.3 Monitoring and Support</w:t>
      </w:r>
    </w:p>
    <w:p>
      <w:pPr>
        <w:pStyle w:val="FirstParagraph"/>
      </w:pPr>
      <w:r>
        <w:t xml:space="preserve">A dedicated support team will be available to assist participants with any issues related to the "Banker" platform. Regular monitoring will be conducted to ensure the system is functioning correctly and to address any technical or operational challenges promptly.</w:t>
      </w:r>
    </w:p>
    <w:bookmarkEnd w:id="29"/>
    <w:bookmarkEnd w:id="30"/>
    <w:bookmarkStart w:id="31" w:name="data-analysis"/>
    <w:p>
      <w:pPr>
        <w:pStyle w:val="Heading2"/>
      </w:pPr>
      <w:r>
        <w:t xml:space="preserve">5. Data Analysis</w:t>
      </w:r>
    </w:p>
    <w:p>
      <w:pPr>
        <w:pStyle w:val="FirstParagraph"/>
      </w:pPr>
      <w:r>
        <w:t xml:space="preserve">Data analysis will be conducted using statistical software to compare outcomes between the treatment and control groups. Key metrics will include:</w:t>
      </w:r>
    </w:p>
    <w:p>
      <w:pPr>
        <w:numPr>
          <w:ilvl w:val="0"/>
          <w:numId w:val="1004"/>
        </w:numPr>
        <w:pStyle w:val="Compact"/>
      </w:pPr>
      <w:r>
        <w:t xml:space="preserve">Credit approval rates.</w:t>
      </w:r>
    </w:p>
    <w:p>
      <w:pPr>
        <w:numPr>
          <w:ilvl w:val="0"/>
          <w:numId w:val="1004"/>
        </w:numPr>
        <w:pStyle w:val="Compact"/>
      </w:pPr>
      <w:r>
        <w:t xml:space="preserve">Default rates.</w:t>
      </w:r>
    </w:p>
    <w:p>
      <w:pPr>
        <w:numPr>
          <w:ilvl w:val="0"/>
          <w:numId w:val="1004"/>
        </w:numPr>
        <w:pStyle w:val="Compact"/>
      </w:pPr>
      <w:r>
        <w:t xml:space="preserve">User satisfaction scores.</w:t>
      </w:r>
    </w:p>
    <w:p>
      <w:pPr>
        <w:numPr>
          <w:ilvl w:val="0"/>
          <w:numId w:val="1004"/>
        </w:numPr>
        <w:pStyle w:val="Compact"/>
      </w:pPr>
      <w:r>
        <w:t xml:space="preserve">Changes in financial behavior and inclusion.</w:t>
      </w:r>
    </w:p>
    <w:p>
      <w:pPr>
        <w:pStyle w:val="FirstParagraph"/>
      </w:pPr>
      <w:r>
        <w:t xml:space="preserve">Qualitative data from interviews will be analyzed using thematic analysis to identify common patterns and insights.</w:t>
      </w:r>
    </w:p>
    <w:bookmarkEnd w:id="31"/>
    <w:bookmarkStart w:id="32" w:name="ethical-considerations"/>
    <w:p>
      <w:pPr>
        <w:pStyle w:val="Heading2"/>
      </w:pPr>
      <w:r>
        <w:t xml:space="preserve">6. Ethical Considerations</w:t>
      </w:r>
    </w:p>
    <w:p>
      <w:pPr>
        <w:pStyle w:val="FirstParagraph"/>
      </w:pPr>
      <w:r>
        <w:t xml:space="preserve">This Experiment Protocol has been reviewed and approved by the relevant ethics committee. Key ethical considerations include:</w:t>
      </w:r>
    </w:p>
    <w:p>
      <w:pPr>
        <w:numPr>
          <w:ilvl w:val="0"/>
          <w:numId w:val="1005"/>
        </w:numPr>
        <w:pStyle w:val="Compact"/>
      </w:pPr>
      <w:r>
        <w:t xml:space="preserve">Ensuring informed consent is obtained from all participants.</w:t>
      </w:r>
    </w:p>
    <w:p>
      <w:pPr>
        <w:numPr>
          <w:ilvl w:val="0"/>
          <w:numId w:val="1005"/>
        </w:numPr>
        <w:pStyle w:val="Compact"/>
      </w:pPr>
      <w:r>
        <w:t xml:space="preserve">Protecting participant privacy and data security.</w:t>
      </w:r>
    </w:p>
    <w:p>
      <w:pPr>
        <w:numPr>
          <w:ilvl w:val="0"/>
          <w:numId w:val="1005"/>
        </w:numPr>
        <w:pStyle w:val="Compact"/>
      </w:pPr>
      <w:r>
        <w:t xml:space="preserve">Providing equal access to financial services for all participants, regardless of group assignment.</w:t>
      </w:r>
    </w:p>
    <w:p>
      <w:pPr>
        <w:numPr>
          <w:ilvl w:val="0"/>
          <w:numId w:val="1005"/>
        </w:numPr>
        <w:pStyle w:val="Compact"/>
      </w:pPr>
      <w:r>
        <w:t xml:space="preserve">Addressing any adverse events or concerns promptly and transparently.</w:t>
      </w:r>
    </w:p>
    <w:bookmarkEnd w:id="32"/>
    <w:bookmarkStart w:id="33"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1-2 months</w:t>
            </w:r>
          </w:p>
        </w:tc>
        <w:tc>
          <w:tcPr/>
          <w:p>
            <w:pPr>
              <w:pStyle w:val="Compact"/>
              <w:jc w:val="left"/>
            </w:pPr>
            <w:r>
              <w:t xml:space="preserve">Recruitment, platform setup, training</w:t>
            </w:r>
          </w:p>
        </w:tc>
      </w:tr>
      <w:tr>
        <w:tc>
          <w:tcPr/>
          <w:p>
            <w:pPr>
              <w:pStyle w:val="Compact"/>
              <w:jc w:val="left"/>
            </w:pPr>
            <w:r>
              <w:t xml:space="preserve">Implementation</w:t>
            </w:r>
          </w:p>
        </w:tc>
        <w:tc>
          <w:tcPr/>
          <w:p>
            <w:pPr>
              <w:pStyle w:val="Compact"/>
              <w:jc w:val="left"/>
            </w:pPr>
            <w:r>
              <w:t xml:space="preserve">12 months</w:t>
            </w:r>
          </w:p>
        </w:tc>
        <w:tc>
          <w:tcPr/>
          <w:p>
            <w:pPr>
              <w:pStyle w:val="Compact"/>
              <w:jc w:val="left"/>
            </w:pPr>
            <w:r>
              <w:t xml:space="preserve">Platform use, data collection, monitoring</w:t>
            </w:r>
          </w:p>
        </w:tc>
      </w:tr>
      <w:tr>
        <w:tc>
          <w:tcPr/>
          <w:p>
            <w:pPr>
              <w:pStyle w:val="Compact"/>
              <w:jc w:val="left"/>
            </w:pPr>
            <w:r>
              <w:t xml:space="preserve">Analysis</w:t>
            </w:r>
          </w:p>
        </w:tc>
        <w:tc>
          <w:tcPr/>
          <w:p>
            <w:pPr>
              <w:pStyle w:val="Compact"/>
              <w:jc w:val="left"/>
            </w:pPr>
            <w:r>
              <w:t xml:space="preserve">2-3 months</w:t>
            </w:r>
          </w:p>
        </w:tc>
        <w:tc>
          <w:tcPr/>
          <w:p>
            <w:pPr>
              <w:pStyle w:val="Compact"/>
              <w:jc w:val="left"/>
            </w:pPr>
            <w:r>
              <w:t xml:space="preserve">Data analysis, report writing</w:t>
            </w:r>
          </w:p>
        </w:tc>
      </w:tr>
    </w:tbl>
    <w:bookmarkEnd w:id="33"/>
    <w:bookmarkStart w:id="34" w:name="conclusion"/>
    <w:p>
      <w:pPr>
        <w:pStyle w:val="Heading2"/>
      </w:pPr>
      <w:r>
        <w:t xml:space="preserve">8. Conclusion</w:t>
      </w:r>
    </w:p>
    <w:p>
      <w:pPr>
        <w:pStyle w:val="FirstParagraph"/>
      </w:pPr>
      <w:r>
        <w:t xml:space="preserve">This Experiment Protocol for the "Banker" initiative in Argentina Buenos Aires is designed to provide valuable insights into the potential of algorithmic credit allocation systems. By carefully following the outlined procedures and adhering to ethical standards, we aim to contribute to the advancement of financial technology and improve financial inclusion in the region.</w:t>
      </w:r>
    </w:p>
    <w:bookmarkEnd w:id="34"/>
    <w:p>
      <w:pPr>
        <w:pStyle w:val="BodyText"/>
      </w:pPr>
      <w:r>
        <w:t xml:space="preserve">This document is confidential and intended solely for the use of the individuals and entities named herein. Unauthorized distribution or use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 Argentina Buenos Aires</dc:title>
  <dc:creator/>
  <dc:language>en</dc:language>
  <cp:keywords/>
  <dcterms:created xsi:type="dcterms:W3CDTF">2026-10-10T01:06:38Z</dcterms:created>
  <dcterms:modified xsi:type="dcterms:W3CDTF">2026-10-10T01:06:38Z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