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Banker</w:t>
      </w:r>
      <w:r>
        <w:t xml:space="preserve"> </w:t>
      </w:r>
      <w:r>
        <w:t xml:space="preserve">-</w:t>
      </w:r>
      <w:r>
        <w:t xml:space="preserve"> </w:t>
      </w:r>
      <w:r>
        <w:t xml:space="preserve">Melbourne,</w:t>
      </w:r>
      <w:r>
        <w:t xml:space="preserve"> </w:t>
      </w:r>
      <w:r>
        <w:t xml:space="preserve">Australia</w:t>
      </w:r>
    </w:p>
    <w:bookmarkStart w:id="20" w:name="experiment-protocol-the-banker"/>
    <w:p>
      <w:pPr>
        <w:pStyle w:val="Heading1"/>
      </w:pPr>
      <w:r>
        <w:t xml:space="preserve">Experiment Protocol: The Banker</w:t>
      </w:r>
    </w:p>
    <w:p>
      <w:pPr>
        <w:pStyle w:val="FirstParagraph"/>
      </w:pPr>
      <w:r>
        <w:rPr>
          <w:bCs/>
          <w:b/>
        </w:rPr>
        <w:t xml:space="preserve">Location:</w:t>
      </w:r>
      <w:r>
        <w:t xml:space="preserve"> </w:t>
      </w:r>
      <w:r>
        <w:t xml:space="preserve">Melbourne, Australia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conducting a controlled study titled "The Banker." The study is designed to investigate the behavioral and economic dynamics of financial decision-making within the context of Melbourne, Australia. Melbourne, as a major financial hub in the Asia-Pacific region, provides a unique environment for examining how individuals and institutions interact with banking systems, risk management, and financial regulations.</w:t>
      </w:r>
    </w:p>
    <w:p>
      <w:pPr>
        <w:pStyle w:val="BodyText"/>
      </w:pPr>
      <w:r>
        <w:t xml:space="preserve">The term "The Banker" refers to a simulated role-playing scenario where participants assume the responsibilities of a banker, making decisions related to lending, investment, and risk assessment. This experiment aims to explore how cultural, regulatory, and economic factors in Melbourne influence these decisions.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processes of individuals acting as bankers in a simulated environment.</w:t>
      </w:r>
    </w:p>
    <w:p>
      <w:pPr>
        <w:numPr>
          <w:ilvl w:val="0"/>
          <w:numId w:val="1001"/>
        </w:numPr>
        <w:pStyle w:val="Compact"/>
      </w:pPr>
      <w:r>
        <w:t xml:space="preserve">To assess the impact of Australian financial regulations on banking behavior.</w:t>
      </w:r>
    </w:p>
    <w:p>
      <w:pPr>
        <w:numPr>
          <w:ilvl w:val="0"/>
          <w:numId w:val="1001"/>
        </w:numPr>
        <w:pStyle w:val="Compact"/>
      </w:pPr>
      <w:r>
        <w:t xml:space="preserve">To evaluate the role of cultural factors specific to Melbourne in shaping financial strategies.</w:t>
      </w:r>
    </w:p>
    <w:p>
      <w:pPr>
        <w:numPr>
          <w:ilvl w:val="0"/>
          <w:numId w:val="1001"/>
        </w:numPr>
        <w:pStyle w:val="Compact"/>
      </w:pPr>
      <w:r>
        <w:t xml:space="preserve">To identify potential biases or patterns in risk assessment and lending practices.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100 participants from Melbourne, Australia. Participants will be selected based on the following criteria:</w:t>
      </w:r>
    </w:p>
    <w:p>
      <w:pPr>
        <w:numPr>
          <w:ilvl w:val="0"/>
          <w:numId w:val="1002"/>
        </w:numPr>
        <w:pStyle w:val="Compact"/>
      </w:pPr>
      <w:r>
        <w:t xml:space="preserve">Age: 25-60 years.</w:t>
      </w:r>
    </w:p>
    <w:p>
      <w:pPr>
        <w:numPr>
          <w:ilvl w:val="0"/>
          <w:numId w:val="1002"/>
        </w:numPr>
        <w:pStyle w:val="Compact"/>
      </w:pPr>
      <w:r>
        <w:t xml:space="preserve">Residency: Must have lived in Melbourne for at least 5 years.</w:t>
      </w:r>
    </w:p>
    <w:p>
      <w:pPr>
        <w:numPr>
          <w:ilvl w:val="0"/>
          <w:numId w:val="1002"/>
        </w:numPr>
        <w:pStyle w:val="Compact"/>
      </w:pPr>
      <w:r>
        <w:t xml:space="preserve">Background: A mix of individuals with and without prior experience in banking or finance.</w:t>
      </w:r>
    </w:p>
    <w:p>
      <w:pPr>
        <w:pStyle w:val="FirstParagraph"/>
      </w:pPr>
      <w:r>
        <w:t xml:space="preserve">Participants will be randomly assigned to one of two groups: "Experienced Bankers" (those with prior banking experience) and "Novice Bankers" (those without).</w:t>
      </w:r>
    </w:p>
    <w:bookmarkEnd w:id="23"/>
    <w:bookmarkStart w:id="24" w:name="experimental-design"/>
    <w:p>
      <w:pPr>
        <w:pStyle w:val="Heading3"/>
      </w:pPr>
      <w:r>
        <w:t xml:space="preserve">3.2 Experimental Design</w:t>
      </w:r>
    </w:p>
    <w:p>
      <w:pPr>
        <w:pStyle w:val="FirstParagraph"/>
      </w:pPr>
      <w:r>
        <w:t xml:space="preserve">The experiment will be conducted in a controlled laboratory setting in Melbourne. Participants will engage in a simulated banking environment where they must make decisions related to:</w:t>
      </w:r>
    </w:p>
    <w:p>
      <w:pPr>
        <w:numPr>
          <w:ilvl w:val="0"/>
          <w:numId w:val="1003"/>
        </w:numPr>
        <w:pStyle w:val="Compact"/>
      </w:pPr>
      <w:r>
        <w:t xml:space="preserve">Loan approvals and rejections.</w:t>
      </w:r>
    </w:p>
    <w:p>
      <w:pPr>
        <w:numPr>
          <w:ilvl w:val="0"/>
          <w:numId w:val="1003"/>
        </w:numPr>
        <w:pStyle w:val="Compact"/>
      </w:pPr>
      <w:r>
        <w:t xml:space="preserve">Investment portfolio management.</w:t>
      </w:r>
    </w:p>
    <w:p>
      <w:pPr>
        <w:numPr>
          <w:ilvl w:val="0"/>
          <w:numId w:val="1003"/>
        </w:numPr>
        <w:pStyle w:val="Compact"/>
      </w:pPr>
      <w:r>
        <w:t xml:space="preserve">Risk assessment of hypothetical clients.</w:t>
      </w:r>
    </w:p>
    <w:p>
      <w:pPr>
        <w:pStyle w:val="FirstParagraph"/>
      </w:pPr>
      <w:r>
        <w:t xml:space="preserve">Each participant will be provided with a set of scenarios that reflect real-world banking challenges in Australia. These scenarios will include varying levels of risk, regulatory constraints, and client profiles.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t xml:space="preserve">Decision logs: Records of all decisions made by participants during the simulation.</w:t>
      </w:r>
    </w:p>
    <w:p>
      <w:pPr>
        <w:numPr>
          <w:ilvl w:val="0"/>
          <w:numId w:val="1004"/>
        </w:numPr>
        <w:pStyle w:val="Compact"/>
      </w:pPr>
      <w:r>
        <w:t xml:space="preserve">Surveys: Pre- and post-experiment questionnaires to assess participants' attitudes and perceptions.</w:t>
      </w:r>
    </w:p>
    <w:p>
      <w:pPr>
        <w:numPr>
          <w:ilvl w:val="0"/>
          <w:numId w:val="1004"/>
        </w:numPr>
        <w:pStyle w:val="Compact"/>
      </w:pPr>
      <w:r>
        <w:t xml:space="preserve">Interviews: Follow-up interviews with a subset of participants to gain deeper insights into their decision-making processes.</w:t>
      </w:r>
    </w:p>
    <w:bookmarkEnd w:id="25"/>
    <w:bookmarkEnd w:id="26"/>
    <w:bookmarkStart w:id="27" w:name="ethical-considerations"/>
    <w:p>
      <w:pPr>
        <w:pStyle w:val="Heading2"/>
      </w:pPr>
      <w:r>
        <w:t xml:space="preserve">4. Ethical Considerations</w:t>
      </w:r>
    </w:p>
    <w:p>
      <w:pPr>
        <w:pStyle w:val="FirstParagraph"/>
      </w:pPr>
      <w:r>
        <w:t xml:space="preserve">This experiment adheres to the ethical guidelines set by the National Health and Medical Research Council (NHMRC) of Australia. Key ethical considerations include:</w:t>
      </w:r>
    </w:p>
    <w:p>
      <w:pPr>
        <w:numPr>
          <w:ilvl w:val="0"/>
          <w:numId w:val="1005"/>
        </w:numPr>
        <w:pStyle w:val="Compact"/>
      </w:pPr>
      <w:r>
        <w:t xml:space="preserve">Informed consent: All participants will provide written consent before participating.</w:t>
      </w:r>
    </w:p>
    <w:p>
      <w:pPr>
        <w:numPr>
          <w:ilvl w:val="0"/>
          <w:numId w:val="1005"/>
        </w:numPr>
        <w:pStyle w:val="Compact"/>
      </w:pPr>
      <w:r>
        <w:t xml:space="preserve">Confidentiality: Personal data will be anonymized and stored securely.</w:t>
      </w:r>
    </w:p>
    <w:p>
      <w:pPr>
        <w:numPr>
          <w:ilvl w:val="0"/>
          <w:numId w:val="1005"/>
        </w:numPr>
        <w:pStyle w:val="Compact"/>
      </w:pPr>
      <w:r>
        <w:t xml:space="preserve">Voluntary participation: Participants can withdraw from the study at any time without penalty.</w:t>
      </w:r>
    </w:p>
    <w:bookmarkEnd w:id="27"/>
    <w:bookmarkStart w:id="28" w:name="timeline"/>
    <w:p>
      <w:pPr>
        <w:pStyle w:val="Heading2"/>
      </w:pPr>
      <w:r>
        <w:t xml:space="preserve">5. Timeline</w:t>
      </w:r>
    </w:p>
    <w:p>
      <w:pPr>
        <w:pStyle w:val="FirstParagraph"/>
      </w:pPr>
      <w:r>
        <w:t xml:space="preserve">The experiment will be conducted over a period of 12 weeks, as follows:</w:t>
      </w:r>
    </w:p>
    <w:p>
      <w:pPr>
        <w:numPr>
          <w:ilvl w:val="0"/>
          <w:numId w:val="1006"/>
        </w:numPr>
        <w:pStyle w:val="Compact"/>
      </w:pPr>
      <w:r>
        <w:t xml:space="preserve">Weeks 1-2: Recruitment and screening of participants.</w:t>
      </w:r>
    </w:p>
    <w:p>
      <w:pPr>
        <w:numPr>
          <w:ilvl w:val="0"/>
          <w:numId w:val="1006"/>
        </w:numPr>
        <w:pStyle w:val="Compact"/>
      </w:pPr>
      <w:r>
        <w:t xml:space="preserve">Weeks 3-4: Development and testing of the simulation environment.</w:t>
      </w:r>
    </w:p>
    <w:p>
      <w:pPr>
        <w:numPr>
          <w:ilvl w:val="0"/>
          <w:numId w:val="1006"/>
        </w:numPr>
        <w:pStyle w:val="Compact"/>
      </w:pPr>
      <w:r>
        <w:t xml:space="preserve">Weeks 5-8: Conducting the experiment with participants.</w:t>
      </w:r>
    </w:p>
    <w:p>
      <w:pPr>
        <w:numPr>
          <w:ilvl w:val="0"/>
          <w:numId w:val="1006"/>
        </w:numPr>
        <w:pStyle w:val="Compact"/>
      </w:pPr>
      <w:r>
        <w:t xml:space="preserve">Weeks 9-10: Data analysis.</w:t>
      </w:r>
    </w:p>
    <w:p>
      <w:pPr>
        <w:numPr>
          <w:ilvl w:val="0"/>
          <w:numId w:val="1006"/>
        </w:numPr>
        <w:pStyle w:val="Compact"/>
      </w:pPr>
      <w:r>
        <w:t xml:space="preserve">Weeks 11-12: Reporting and dissemination of findings.</w:t>
      </w:r>
    </w:p>
    <w:bookmarkEnd w:id="28"/>
    <w:bookmarkStart w:id="29" w:name="expected-outcomes"/>
    <w:p>
      <w:pPr>
        <w:pStyle w:val="Heading2"/>
      </w:pPr>
      <w:r>
        <w:t xml:space="preserve">6. Expected Outcomes</w:t>
      </w:r>
    </w:p>
    <w:p>
      <w:pPr>
        <w:pStyle w:val="FirstParagraph"/>
      </w:pPr>
      <w:r>
        <w:t xml:space="preserve">The experiment is expected to yield valuable insights into the behavior of bankers in Melbourne, Australia. Key outcomes may include:</w:t>
      </w:r>
    </w:p>
    <w:p>
      <w:pPr>
        <w:numPr>
          <w:ilvl w:val="0"/>
          <w:numId w:val="1007"/>
        </w:numPr>
        <w:pStyle w:val="Compact"/>
      </w:pPr>
      <w:r>
        <w:t xml:space="preserve">Identification of common decision-making patterns among bankers.</w:t>
      </w:r>
    </w:p>
    <w:p>
      <w:pPr>
        <w:numPr>
          <w:ilvl w:val="0"/>
          <w:numId w:val="1007"/>
        </w:numPr>
        <w:pStyle w:val="Compact"/>
      </w:pPr>
      <w:r>
        <w:t xml:space="preserve">Understanding of how Australian regulations influence banking practices.</w:t>
      </w:r>
    </w:p>
    <w:p>
      <w:pPr>
        <w:numPr>
          <w:ilvl w:val="0"/>
          <w:numId w:val="1007"/>
        </w:numPr>
        <w:pStyle w:val="Compact"/>
      </w:pPr>
      <w:r>
        <w:t xml:space="preserve">Recognition of cultural factors that impact financial decision-making in Melbourne.</w:t>
      </w:r>
    </w:p>
    <w:p>
      <w:pPr>
        <w:pStyle w:val="FirstParagraph"/>
      </w:pPr>
      <w:r>
        <w:t xml:space="preserve">These findings will contribute to the broader understanding of banking behavior and may inform policy recommendations for financial institutions and regulators in Australia.</w:t>
      </w:r>
    </w:p>
    <w:bookmarkEnd w:id="29"/>
    <w:bookmarkStart w:id="30" w:name="conclusion"/>
    <w:p>
      <w:pPr>
        <w:pStyle w:val="Heading2"/>
      </w:pPr>
      <w:r>
        <w:t xml:space="preserve">7. Conclusion</w:t>
      </w:r>
    </w:p>
    <w:p>
      <w:pPr>
        <w:pStyle w:val="FirstParagraph"/>
      </w:pPr>
      <w:r>
        <w:t xml:space="preserve">This Experiment Protocol provides a comprehensive framework for conducting "The Banker" study in Melbourne, Australia. By combining rigorous methodology with ethical considerations, the study aims to produce meaningful insights into the complex world of banking and finance. The results will not only advance academic knowledge but also have practical implications for the financial sector in Australia.</w:t>
      </w:r>
    </w:p>
    <w:bookmarkEnd w:id="30"/>
    <w:p>
      <w:pPr>
        <w:pStyle w:val="BodyText"/>
      </w:pPr>
      <w:r>
        <w:t xml:space="preserve">© 2023 Experiment Protocol: The Banker.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Banker - Melbourne, Australia</dc:title>
  <dc:creator/>
  <dc:language>en</dc:language>
  <cp:keywords/>
  <dcterms:created xsi:type="dcterms:W3CDTF">2026-10-10T08:27:29Z</dcterms:created>
  <dcterms:modified xsi:type="dcterms:W3CDTF">2026-10-10T08:27:29Z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