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Simulation</w:t>
      </w:r>
      <w:r>
        <w:t xml:space="preserve"> </w:t>
      </w:r>
      <w:r>
        <w:t xml:space="preserve">in</w:t>
      </w:r>
      <w:r>
        <w:t xml:space="preserve"> </w:t>
      </w:r>
      <w:r>
        <w:t xml:space="preserve">Australia</w:t>
      </w:r>
      <w:r>
        <w:t xml:space="preserve"> </w:t>
      </w:r>
      <w:r>
        <w:t xml:space="preserve">Sydney</w:t>
      </w:r>
    </w:p>
    <w:bookmarkStart w:id="20" w:name="X790203b67f3a5e74996a483b3ac1424ac532735"/>
    <w:p>
      <w:pPr>
        <w:pStyle w:val="Heading1"/>
      </w:pPr>
      <w:r>
        <w:t xml:space="preserve">Experiment Protocol: Banker Role Simulation in Australia Sydney</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Australia Sydney</w:t>
      </w:r>
    </w:p>
    <w:p>
      <w:pPr>
        <w:pStyle w:val="BodyText"/>
      </w:pPr>
      <w:r>
        <w:rPr>
          <w:bCs/>
          <w:b/>
        </w:rPr>
        <w:t xml:space="preserve">Prepared by:</w:t>
      </w:r>
      <w:r>
        <w:t xml:space="preserve"> </w:t>
      </w:r>
      <w:r>
        <w:t xml:space="preserve">[Your Name/Organization]</w:t>
      </w:r>
    </w:p>
    <w:bookmarkEnd w:id="20"/>
    <w:bookmarkStart w:id="21" w:name="introduction"/>
    <w:p>
      <w:pPr>
        <w:pStyle w:val="Heading2"/>
      </w:pPr>
      <w:r>
        <w:t xml:space="preserve">1. Introduction</w:t>
      </w:r>
    </w:p>
    <w:p>
      <w:pPr>
        <w:pStyle w:val="FirstParagraph"/>
      </w:pPr>
      <w:r>
        <w:t xml:space="preserve">This Experiment Protocol outlines the procedures for conducting a controlled simulation of a Banker role within the financial sector in Australia Sydney. The purpose of this experiment is to evaluate the effectiveness of decision-making processes, risk management strategies, and customer interaction protocols under simulated real-world conditions. This protocol is designed to ensure consistency, accuracy, and compliance with local regulations while providing valuable insights into the operational dynamics of banking professionals in Australia Sydney.</w:t>
      </w:r>
    </w:p>
    <w:bookmarkEnd w:id="21"/>
    <w:bookmarkStart w:id="22"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assess the ability of participants to perform core Banker functions, including loan approvals, financial advisory, and fraud detection.</w:t>
      </w:r>
    </w:p>
    <w:p>
      <w:pPr>
        <w:numPr>
          <w:ilvl w:val="0"/>
          <w:numId w:val="1001"/>
        </w:numPr>
        <w:pStyle w:val="Compact"/>
      </w:pPr>
      <w:r>
        <w:t xml:space="preserve">To evaluate the impact of stress and time constraints on decision-making accuracy.</w:t>
      </w:r>
    </w:p>
    <w:p>
      <w:pPr>
        <w:numPr>
          <w:ilvl w:val="0"/>
          <w:numId w:val="1001"/>
        </w:numPr>
        <w:pStyle w:val="Compact"/>
      </w:pPr>
      <w:r>
        <w:t xml:space="preserve">To analyze the effectiveness of communication skills when interacting with diverse customer profiles.</w:t>
      </w:r>
    </w:p>
    <w:p>
      <w:pPr>
        <w:numPr>
          <w:ilvl w:val="0"/>
          <w:numId w:val="1001"/>
        </w:numPr>
        <w:pStyle w:val="Compact"/>
      </w:pPr>
      <w:r>
        <w:t xml:space="preserve">To identify areas for improvement in training programs for Bankers operating in Australia Sydney.</w:t>
      </w:r>
    </w:p>
    <w:bookmarkEnd w:id="22"/>
    <w:bookmarkStart w:id="23" w:name="scope"/>
    <w:p>
      <w:pPr>
        <w:pStyle w:val="Heading2"/>
      </w:pPr>
      <w:r>
        <w:t xml:space="preserve">3. Scope</w:t>
      </w:r>
    </w:p>
    <w:p>
      <w:pPr>
        <w:pStyle w:val="FirstParagraph"/>
      </w:pPr>
      <w:r>
        <w:t xml:space="preserve">This Experiment Protocol applies to all participants involved in the Banker role simulation. It covers the following aspects:</w:t>
      </w:r>
    </w:p>
    <w:p>
      <w:pPr>
        <w:numPr>
          <w:ilvl w:val="0"/>
          <w:numId w:val="1002"/>
        </w:numPr>
        <w:pStyle w:val="Compact"/>
      </w:pPr>
      <w:r>
        <w:t xml:space="preserve">Simulation scenarios tailored to the financial landscape of Australia Sydney.</w:t>
      </w:r>
    </w:p>
    <w:p>
      <w:pPr>
        <w:numPr>
          <w:ilvl w:val="0"/>
          <w:numId w:val="1002"/>
        </w:numPr>
        <w:pStyle w:val="Compact"/>
      </w:pPr>
      <w:r>
        <w:t xml:space="preserve">Performance metrics aligned with industry standards.</w:t>
      </w:r>
    </w:p>
    <w:p>
      <w:pPr>
        <w:numPr>
          <w:ilvl w:val="0"/>
          <w:numId w:val="1002"/>
        </w:numPr>
        <w:pStyle w:val="Compact"/>
      </w:pPr>
      <w:r>
        <w:t xml:space="preserve">Data collection methods to ensure reliability and validity.</w:t>
      </w:r>
    </w:p>
    <w:p>
      <w:pPr>
        <w:numPr>
          <w:ilvl w:val="0"/>
          <w:numId w:val="1002"/>
        </w:numPr>
        <w:pStyle w:val="Compact"/>
      </w:pPr>
      <w:r>
        <w:t xml:space="preserve">Ethical considerations and compliance with Australian banking regulations.</w:t>
      </w:r>
    </w:p>
    <w:bookmarkEnd w:id="23"/>
    <w:bookmarkStart w:id="27" w:name="methodology"/>
    <w:p>
      <w:pPr>
        <w:pStyle w:val="Heading2"/>
      </w:pPr>
      <w:r>
        <w:t xml:space="preserve">4. Methodology</w:t>
      </w:r>
    </w:p>
    <w:bookmarkStart w:id="24" w:name="participants"/>
    <w:p>
      <w:pPr>
        <w:pStyle w:val="Heading3"/>
      </w:pPr>
      <w:r>
        <w:t xml:space="preserve">4.1 Participants</w:t>
      </w:r>
    </w:p>
    <w:p>
      <w:pPr>
        <w:pStyle w:val="FirstParagraph"/>
      </w:pPr>
      <w:r>
        <w:t xml:space="preserve">Participants will consist of current Bankers and trainees from financial institutions in Australia Sydney. A minimum of 30 participants will be recruited to ensure statistical significance. Participants will be randomly assigned to one of three groups based on their experience level: novice, intermediate, and expert.</w:t>
      </w:r>
    </w:p>
    <w:bookmarkEnd w:id="24"/>
    <w:bookmarkStart w:id="25" w:name="simulation-scenarios"/>
    <w:p>
      <w:pPr>
        <w:pStyle w:val="Heading3"/>
      </w:pPr>
      <w:r>
        <w:t xml:space="preserve">4.2 Simulation Scenarios</w:t>
      </w:r>
    </w:p>
    <w:p>
      <w:pPr>
        <w:pStyle w:val="FirstParagraph"/>
      </w:pPr>
      <w:r>
        <w:t xml:space="preserve">The simulation will include the following scenarios:</w:t>
      </w:r>
    </w:p>
    <w:p>
      <w:pPr>
        <w:numPr>
          <w:ilvl w:val="0"/>
          <w:numId w:val="1003"/>
        </w:numPr>
        <w:pStyle w:val="Compact"/>
      </w:pPr>
      <w:r>
        <w:rPr>
          <w:bCs/>
          <w:b/>
        </w:rPr>
        <w:t xml:space="preserve">Loan Approval Process:</w:t>
      </w:r>
      <w:r>
        <w:t xml:space="preserve"> </w:t>
      </w:r>
      <w:r>
        <w:t xml:space="preserve">Participants will evaluate loan applications from fictional customers with varying credit scores, income levels, and financial histories.</w:t>
      </w:r>
    </w:p>
    <w:p>
      <w:pPr>
        <w:numPr>
          <w:ilvl w:val="0"/>
          <w:numId w:val="1003"/>
        </w:numPr>
        <w:pStyle w:val="Compact"/>
      </w:pPr>
      <w:r>
        <w:rPr>
          <w:bCs/>
          <w:b/>
        </w:rPr>
        <w:t xml:space="preserve">Fraud Detection:</w:t>
      </w:r>
      <w:r>
        <w:t xml:space="preserve"> </w:t>
      </w:r>
      <w:r>
        <w:t xml:space="preserve">Participants will identify suspicious transactions and determine appropriate actions based on predefined criteria.</w:t>
      </w:r>
    </w:p>
    <w:p>
      <w:pPr>
        <w:numPr>
          <w:ilvl w:val="0"/>
          <w:numId w:val="1003"/>
        </w:numPr>
        <w:pStyle w:val="Compact"/>
      </w:pPr>
      <w:r>
        <w:rPr>
          <w:bCs/>
          <w:b/>
        </w:rPr>
        <w:t xml:space="preserve">Customer Advisory:</w:t>
      </w:r>
      <w:r>
        <w:t xml:space="preserve"> </w:t>
      </w:r>
      <w:r>
        <w:t xml:space="preserve">Participants will provide financial advice to customers seeking investment opportunities or retirement planning solutions.</w:t>
      </w:r>
    </w:p>
    <w:p>
      <w:pPr>
        <w:numPr>
          <w:ilvl w:val="0"/>
          <w:numId w:val="1003"/>
        </w:numPr>
        <w:pStyle w:val="Compact"/>
      </w:pPr>
      <w:r>
        <w:rPr>
          <w:bCs/>
          <w:b/>
        </w:rPr>
        <w:t xml:space="preserve">Crisis Management:</w:t>
      </w:r>
      <w:r>
        <w:t xml:space="preserve"> </w:t>
      </w:r>
      <w:r>
        <w:t xml:space="preserve">Participants will respond to simulated emergencies, such as a sudden market downturn or a cybersecurity breach.</w:t>
      </w:r>
    </w:p>
    <w:bookmarkEnd w:id="25"/>
    <w:bookmarkStart w:id="26" w:name="data-collection"/>
    <w:p>
      <w:pPr>
        <w:pStyle w:val="Heading3"/>
      </w:pPr>
      <w:r>
        <w:t xml:space="preserve">4.3 Data Collection</w:t>
      </w:r>
    </w:p>
    <w:p>
      <w:pPr>
        <w:pStyle w:val="FirstParagraph"/>
      </w:pPr>
      <w:r>
        <w:t xml:space="preserve">Data will be collected through the following methods:</w:t>
      </w:r>
    </w:p>
    <w:p>
      <w:pPr>
        <w:numPr>
          <w:ilvl w:val="0"/>
          <w:numId w:val="1004"/>
        </w:numPr>
        <w:pStyle w:val="Compact"/>
      </w:pPr>
      <w:r>
        <w:t xml:space="preserve">Performance logs recording decisions made during each scenario.</w:t>
      </w:r>
    </w:p>
    <w:p>
      <w:pPr>
        <w:numPr>
          <w:ilvl w:val="0"/>
          <w:numId w:val="1004"/>
        </w:numPr>
        <w:pStyle w:val="Compact"/>
      </w:pPr>
      <w:r>
        <w:t xml:space="preserve">Video recordings of customer interactions for qualitative analysis.</w:t>
      </w:r>
    </w:p>
    <w:p>
      <w:pPr>
        <w:numPr>
          <w:ilvl w:val="0"/>
          <w:numId w:val="1004"/>
        </w:numPr>
        <w:pStyle w:val="Compact"/>
      </w:pPr>
      <w:r>
        <w:t xml:space="preserve">Post-simulation surveys to gather participant feedback.</w:t>
      </w:r>
    </w:p>
    <w:p>
      <w:pPr>
        <w:numPr>
          <w:ilvl w:val="0"/>
          <w:numId w:val="1004"/>
        </w:numPr>
        <w:pStyle w:val="Compact"/>
      </w:pPr>
      <w:r>
        <w:t xml:space="preserve">Expert evaluations of decision-making quality and adherence to protocols.</w:t>
      </w:r>
    </w:p>
    <w:bookmarkEnd w:id="26"/>
    <w:bookmarkEnd w:id="27"/>
    <w:bookmarkStart w:id="31" w:name="procedures"/>
    <w:p>
      <w:pPr>
        <w:pStyle w:val="Heading2"/>
      </w:pPr>
      <w:r>
        <w:t xml:space="preserve">5. Procedures</w:t>
      </w:r>
    </w:p>
    <w:bookmarkStart w:id="28" w:name="pre-simulation-preparation"/>
    <w:p>
      <w:pPr>
        <w:pStyle w:val="Heading3"/>
      </w:pPr>
      <w:r>
        <w:t xml:space="preserve">5.1 Pre-Simulation Preparation</w:t>
      </w:r>
    </w:p>
    <w:p>
      <w:pPr>
        <w:pStyle w:val="FirstParagraph"/>
      </w:pPr>
      <w:r>
        <w:t xml:space="preserve">Before the experiment begins, participants will undergo a briefing session to familiarize them with the simulation environment and objectives. They will also receive access to relevant tools and resources, such as financial calculators and regulatory guidelines specific to Australia Sydney.</w:t>
      </w:r>
    </w:p>
    <w:bookmarkEnd w:id="28"/>
    <w:bookmarkStart w:id="29" w:name="execution-of-scenarios"/>
    <w:p>
      <w:pPr>
        <w:pStyle w:val="Heading3"/>
      </w:pPr>
      <w:r>
        <w:t xml:space="preserve">5.2 Execution of Scenarios</w:t>
      </w:r>
    </w:p>
    <w:p>
      <w:pPr>
        <w:pStyle w:val="FirstParagraph"/>
      </w:pPr>
      <w:r>
        <w:t xml:space="preserve">Each participant will complete all four scenarios in a randomized order. The duration of each scenario will be limited to 15 minutes to simulate real-world time constraints. Observers will monitor participants' actions and record any deviations from standard procedures.</w:t>
      </w:r>
    </w:p>
    <w:bookmarkEnd w:id="29"/>
    <w:bookmarkStart w:id="30" w:name="post-simulation-analysis"/>
    <w:p>
      <w:pPr>
        <w:pStyle w:val="Heading3"/>
      </w:pPr>
      <w:r>
        <w:t xml:space="preserve">5.3 Post-Simulation Analysis</w:t>
      </w:r>
    </w:p>
    <w:p>
      <w:pPr>
        <w:pStyle w:val="FirstParagraph"/>
      </w:pPr>
      <w:r>
        <w:t xml:space="preserve">After completing the scenarios, participants will submit their decisions for review. Experts will evaluate the outcomes based on predefined criteria, including accuracy, efficiency, and compliance with regulations. Additionally, participants will complete a survey to reflect on their experiences and suggest improvements.</w:t>
      </w:r>
    </w:p>
    <w:bookmarkEnd w:id="30"/>
    <w:bookmarkEnd w:id="31"/>
    <w:bookmarkStart w:id="32" w:name="ethical-considerations"/>
    <w:p>
      <w:pPr>
        <w:pStyle w:val="Heading2"/>
      </w:pPr>
      <w:r>
        <w:t xml:space="preserve">6. Ethical Considerations</w:t>
      </w:r>
    </w:p>
    <w:p>
      <w:pPr>
        <w:pStyle w:val="FirstParagraph"/>
      </w:pPr>
      <w:r>
        <w:t xml:space="preserve">This Experiment Protocol adheres to ethical guidelines to ensure the well-being of participants and the integrity of the study. Key considerations include:</w:t>
      </w:r>
    </w:p>
    <w:p>
      <w:pPr>
        <w:numPr>
          <w:ilvl w:val="0"/>
          <w:numId w:val="1005"/>
        </w:numPr>
        <w:pStyle w:val="Compact"/>
      </w:pPr>
      <w:r>
        <w:t xml:space="preserve">Informed consent: All participants will sign a consent form outlining the purpose, procedures, and potential risks of the experiment.</w:t>
      </w:r>
    </w:p>
    <w:p>
      <w:pPr>
        <w:numPr>
          <w:ilvl w:val="0"/>
          <w:numId w:val="1005"/>
        </w:numPr>
        <w:pStyle w:val="Compact"/>
      </w:pPr>
      <w:r>
        <w:t xml:space="preserve">Confidentiality: Personal information and performance data will be anonymized and stored securely.</w:t>
      </w:r>
    </w:p>
    <w:p>
      <w:pPr>
        <w:numPr>
          <w:ilvl w:val="0"/>
          <w:numId w:val="1005"/>
        </w:numPr>
        <w:pStyle w:val="Compact"/>
      </w:pPr>
      <w:r>
        <w:t xml:space="preserve">Voluntary participation: Participants may withdraw from the experiment at any time without penalty.</w:t>
      </w:r>
    </w:p>
    <w:bookmarkEnd w:id="32"/>
    <w:bookmarkStart w:id="33" w:name="expected-outcomes"/>
    <w:p>
      <w:pPr>
        <w:pStyle w:val="Heading2"/>
      </w:pPr>
      <w:r>
        <w:t xml:space="preserve">7. Expected Outcomes</w:t>
      </w:r>
    </w:p>
    <w:p>
      <w:pPr>
        <w:pStyle w:val="FirstParagraph"/>
      </w:pPr>
      <w:r>
        <w:t xml:space="preserve">The results of this Experiment Protocol are expected to provide actionable insights into the strengths and weaknesses of Bankers operating in Australia Sydney. Specifically, the study aims to:</w:t>
      </w:r>
    </w:p>
    <w:p>
      <w:pPr>
        <w:numPr>
          <w:ilvl w:val="0"/>
          <w:numId w:val="1006"/>
        </w:numPr>
        <w:pStyle w:val="Compact"/>
      </w:pPr>
      <w:r>
        <w:t xml:space="preserve">Identify common errors in decision-making and propose corrective measures.</w:t>
      </w:r>
    </w:p>
    <w:p>
      <w:pPr>
        <w:numPr>
          <w:ilvl w:val="0"/>
          <w:numId w:val="1006"/>
        </w:numPr>
        <w:pStyle w:val="Compact"/>
      </w:pPr>
      <w:r>
        <w:t xml:space="preserve">Enhance training programs by incorporating realistic scenarios and feedback mechanisms.</w:t>
      </w:r>
    </w:p>
    <w:p>
      <w:pPr>
        <w:numPr>
          <w:ilvl w:val="0"/>
          <w:numId w:val="1006"/>
        </w:numPr>
        <w:pStyle w:val="Compact"/>
      </w:pPr>
      <w:r>
        <w:t xml:space="preserve">Strengthen regulatory compliance through improved awareness and adherence to protocols.</w:t>
      </w:r>
    </w:p>
    <w:bookmarkEnd w:id="33"/>
    <w:bookmarkStart w:id="34" w:name="conclusion"/>
    <w:p>
      <w:pPr>
        <w:pStyle w:val="Heading2"/>
      </w:pPr>
      <w:r>
        <w:t xml:space="preserve">8. Conclusion</w:t>
      </w:r>
    </w:p>
    <w:p>
      <w:pPr>
        <w:pStyle w:val="FirstParagraph"/>
      </w:pPr>
      <w:r>
        <w:t xml:space="preserve">This Experiment Protocol provides a structured framework for evaluating the performance of Bankers in Australia Sydney. By simulating real-world challenges and analyzing outcomes systematically, the study seeks to contribute to the continuous improvement of banking practices in the region. The findings will serve as a valuable resource for financial institutions, regulators, and educators committed to excellence in the banking sector.</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Simulation in Australia Sydney</dc:title>
  <dc:creator/>
  <dc:language>en</dc:language>
  <cp:keywords/>
  <dcterms:created xsi:type="dcterms:W3CDTF">2026-10-10T03:12:21Z</dcterms:created>
  <dcterms:modified xsi:type="dcterms:W3CDTF">2026-10-10T03:12:21Z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