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Banker</w:t>
      </w:r>
      <w:r>
        <w:t xml:space="preserve"> </w:t>
      </w:r>
      <w:r>
        <w:t xml:space="preserve">-</w:t>
      </w:r>
      <w:r>
        <w:t xml:space="preserve"> </w:t>
      </w:r>
      <w:r>
        <w:t xml:space="preserve">Canada</w:t>
      </w:r>
      <w:r>
        <w:t xml:space="preserve"> </w:t>
      </w:r>
      <w:r>
        <w:t xml:space="preserve">Montreal</w:t>
      </w:r>
    </w:p>
    <w:bookmarkStart w:id="20" w:name="experiment-protocol-the-banker"/>
    <w:p>
      <w:pPr>
        <w:pStyle w:val="Heading1"/>
      </w:pPr>
      <w:r>
        <w:t xml:space="preserve">Experiment Protocol: The Banker</w:t>
      </w:r>
    </w:p>
    <w:p>
      <w:pPr>
        <w:pStyle w:val="FirstParagraph"/>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w:t>
      </w:r>
      <w:r>
        <w:t xml:space="preserve"> </w:t>
      </w:r>
      <w:r>
        <w:rPr>
          <w:bCs/>
          <w:b/>
        </w:rPr>
        <w:t xml:space="preserve">Experiment Protocol</w:t>
      </w:r>
      <w:r>
        <w:t xml:space="preserve"> </w:t>
      </w:r>
      <w:r>
        <w:t xml:space="preserve">for "The Banker," a comprehensive study designed to evaluate the effectiveness of financial decision-making strategies in a simulated banking environment. The experiment will be conducted in</w:t>
      </w:r>
      <w:r>
        <w:t xml:space="preserve"> </w:t>
      </w:r>
      <w:r>
        <w:rPr>
          <w:bCs/>
          <w:b/>
        </w:rPr>
        <w:t xml:space="preserve">Canada Montreal</w:t>
      </w:r>
      <w:r>
        <w:t xml:space="preserve">, leveraging the city's diverse economic landscape and multicultural population. The primary objective is to assess how individuals and groups manage financial resources, mitigate risks, and optimize returns under varying market conditions.</w:t>
      </w:r>
    </w:p>
    <w:bookmarkEnd w:id="21"/>
    <w:bookmarkStart w:id="22" w:name="objectives"/>
    <w:p>
      <w:pPr>
        <w:pStyle w:val="Heading2"/>
      </w:pPr>
      <w:r>
        <w:t xml:space="preserve">2. Objectives</w:t>
      </w:r>
    </w:p>
    <w:p>
      <w:pPr>
        <w:pStyle w:val="FirstParagraph"/>
      </w:pPr>
      <w:r>
        <w:t xml:space="preserve">The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analyze the decision-making processes of participants acting as "Bankers" in a controlled financial simulation.</w:t>
      </w:r>
    </w:p>
    <w:p>
      <w:pPr>
        <w:numPr>
          <w:ilvl w:val="0"/>
          <w:numId w:val="1001"/>
        </w:numPr>
        <w:pStyle w:val="Compact"/>
      </w:pPr>
      <w:r>
        <w:t xml:space="preserve">To evaluate the impact of cultural and socioeconomic factors on financial behavior in</w:t>
      </w:r>
      <w:r>
        <w:t xml:space="preserve"> </w:t>
      </w:r>
      <w:r>
        <w:rPr>
          <w:bCs/>
          <w:b/>
        </w:rPr>
        <w:t xml:space="preserve">Canada Montreal</w:t>
      </w:r>
      <w:r>
        <w:t xml:space="preserve">.</w:t>
      </w:r>
    </w:p>
    <w:p>
      <w:pPr>
        <w:numPr>
          <w:ilvl w:val="0"/>
          <w:numId w:val="1001"/>
        </w:numPr>
        <w:pStyle w:val="Compact"/>
      </w:pPr>
      <w:r>
        <w:t xml:space="preserve">To identify key strategies that lead to successful financial outcomes in dynamic market environments.</w:t>
      </w:r>
    </w:p>
    <w:p>
      <w:pPr>
        <w:numPr>
          <w:ilvl w:val="0"/>
          <w:numId w:val="1001"/>
        </w:numPr>
        <w:pStyle w:val="Compact"/>
      </w:pPr>
      <w:r>
        <w:t xml:space="preserve">To provide actionable insights for financial institutions operating in</w:t>
      </w:r>
      <w:r>
        <w:t xml:space="preserve"> </w:t>
      </w:r>
      <w:r>
        <w:rPr>
          <w:bCs/>
          <w:b/>
        </w:rPr>
        <w:t xml:space="preserve">Canada Montreal</w:t>
      </w:r>
      <w:r>
        <w:t xml:space="preserve"> </w:t>
      </w:r>
      <w:r>
        <w:t xml:space="preserve">and similar urban centers.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200 participants from</w:t>
      </w:r>
      <w:r>
        <w:t xml:space="preserve"> </w:t>
      </w:r>
      <w:r>
        <w:rPr>
          <w:bCs/>
          <w:b/>
        </w:rPr>
        <w:t xml:space="preserve">Canada Montreal</w:t>
      </w:r>
      <w:r>
        <w:t xml:space="preserve">, ensuring a diverse representation of age, gender, education, and socioeconomic background. Participants will be randomly assigned to one of two groups:</w:t>
      </w:r>
    </w:p>
    <w:p>
      <w:pPr>
        <w:numPr>
          <w:ilvl w:val="0"/>
          <w:numId w:val="1002"/>
        </w:numPr>
        <w:pStyle w:val="Compact"/>
      </w:pPr>
      <w:r>
        <w:rPr>
          <w:bCs/>
          <w:b/>
        </w:rPr>
        <w:t xml:space="preserve">Individual Bankers:</w:t>
      </w:r>
      <w:r>
        <w:t xml:space="preserve"> </w:t>
      </w:r>
      <w:r>
        <w:t xml:space="preserve">Participants who make financial decisions independently.</w:t>
      </w:r>
    </w:p>
    <w:p>
      <w:pPr>
        <w:numPr>
          <w:ilvl w:val="0"/>
          <w:numId w:val="1002"/>
        </w:numPr>
        <w:pStyle w:val="Compact"/>
      </w:pPr>
      <w:r>
        <w:rPr>
          <w:bCs/>
          <w:b/>
        </w:rPr>
        <w:t xml:space="preserve">Group Bankers:</w:t>
      </w:r>
      <w:r>
        <w:t xml:space="preserve"> </w:t>
      </w:r>
      <w:r>
        <w:t xml:space="preserve">Participants who collaborate in teams of four to make collective financial decisions.</w:t>
      </w:r>
    </w:p>
    <w:bookmarkEnd w:id="23"/>
    <w:bookmarkStart w:id="24" w:name="simulation-environment"/>
    <w:p>
      <w:pPr>
        <w:pStyle w:val="Heading3"/>
      </w:pPr>
      <w:r>
        <w:t xml:space="preserve">3.2 Simulation Environment</w:t>
      </w:r>
    </w:p>
    <w:p>
      <w:pPr>
        <w:pStyle w:val="FirstParagraph"/>
      </w:pPr>
      <w:r>
        <w:t xml:space="preserve">The experiment will utilize a state-of-the-art financial simulation platform tailored to reflect the economic conditions of</w:t>
      </w:r>
      <w:r>
        <w:t xml:space="preserve"> </w:t>
      </w:r>
      <w:r>
        <w:rPr>
          <w:bCs/>
          <w:b/>
        </w:rPr>
        <w:t xml:space="preserve">Canada Montreal</w:t>
      </w:r>
      <w:r>
        <w:t xml:space="preserve">. Key features of the simulation include:</w:t>
      </w:r>
    </w:p>
    <w:p>
      <w:pPr>
        <w:numPr>
          <w:ilvl w:val="0"/>
          <w:numId w:val="1003"/>
        </w:numPr>
        <w:pStyle w:val="Compact"/>
      </w:pPr>
      <w:r>
        <w:t xml:space="preserve">Realistic market scenarios, including interest rate fluctuations, inflation, and currency exchange rates.</w:t>
      </w:r>
    </w:p>
    <w:p>
      <w:pPr>
        <w:numPr>
          <w:ilvl w:val="0"/>
          <w:numId w:val="1003"/>
        </w:numPr>
        <w:pStyle w:val="Compact"/>
      </w:pPr>
      <w:r>
        <w:t xml:space="preserve">A variety of financial instruments, such as loans, investments, and savings accounts.</w:t>
      </w:r>
    </w:p>
    <w:p>
      <w:pPr>
        <w:numPr>
          <w:ilvl w:val="0"/>
          <w:numId w:val="1003"/>
        </w:numPr>
        <w:pStyle w:val="Compact"/>
      </w:pPr>
      <w:r>
        <w:t xml:space="preserve">Dynamic risk factors, such as economic downturns, regulatory changes, and geopolitical events.</w:t>
      </w:r>
    </w:p>
    <w:bookmarkEnd w:id="24"/>
    <w:bookmarkStart w:id="25"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will be conducted over a period of six weeks, with each week representing a simulated quarter in the financial year. The procedure is as follows:</w:t>
      </w:r>
    </w:p>
    <w:p>
      <w:pPr>
        <w:numPr>
          <w:ilvl w:val="0"/>
          <w:numId w:val="1004"/>
        </w:numPr>
        <w:pStyle w:val="Compact"/>
      </w:pPr>
      <w:r>
        <w:rPr>
          <w:bCs/>
          <w:b/>
        </w:rPr>
        <w:t xml:space="preserve">Orientation:</w:t>
      </w:r>
      <w:r>
        <w:t xml:space="preserve"> </w:t>
      </w:r>
      <w:r>
        <w:t xml:space="preserve">Participants will receive training on the simulation platform and the role of a "Banker."</w:t>
      </w:r>
    </w:p>
    <w:p>
      <w:pPr>
        <w:numPr>
          <w:ilvl w:val="0"/>
          <w:numId w:val="1004"/>
        </w:numPr>
        <w:pStyle w:val="Compact"/>
      </w:pPr>
      <w:r>
        <w:rPr>
          <w:bCs/>
          <w:b/>
        </w:rPr>
        <w:t xml:space="preserve">Baseline Assessment:</w:t>
      </w:r>
      <w:r>
        <w:t xml:space="preserve"> </w:t>
      </w:r>
      <w:r>
        <w:t xml:space="preserve">Participants will complete a questionnaire to assess their financial literacy and risk tolerance.</w:t>
      </w:r>
    </w:p>
    <w:p>
      <w:pPr>
        <w:numPr>
          <w:ilvl w:val="0"/>
          <w:numId w:val="1004"/>
        </w:numPr>
        <w:pStyle w:val="Compact"/>
      </w:pPr>
      <w:r>
        <w:rPr>
          <w:bCs/>
          <w:b/>
        </w:rPr>
        <w:t xml:space="preserve">Simulation Rounds:</w:t>
      </w:r>
      <w:r>
        <w:t xml:space="preserve"> </w:t>
      </w:r>
      <w:r>
        <w:t xml:space="preserve">Participants will engage in six rounds of financial decision-making, with each round lasting one week.</w:t>
      </w:r>
    </w:p>
    <w:p>
      <w:pPr>
        <w:numPr>
          <w:ilvl w:val="0"/>
          <w:numId w:val="1004"/>
        </w:numPr>
        <w:pStyle w:val="Compact"/>
      </w:pPr>
      <w:r>
        <w:rPr>
          <w:bCs/>
          <w:b/>
        </w:rPr>
        <w:t xml:space="preserve">Data Collection:</w:t>
      </w:r>
      <w:r>
        <w:t xml:space="preserve"> </w:t>
      </w:r>
      <w:r>
        <w:t xml:space="preserve">All decisions, outcomes, and participant interactions will be recorded for analysis.</w:t>
      </w:r>
    </w:p>
    <w:p>
      <w:pPr>
        <w:numPr>
          <w:ilvl w:val="0"/>
          <w:numId w:val="1004"/>
        </w:numPr>
        <w:pStyle w:val="Compact"/>
      </w:pPr>
      <w:r>
        <w:rPr>
          <w:bCs/>
          <w:b/>
        </w:rPr>
        <w:t xml:space="preserve">Debriefing:</w:t>
      </w:r>
      <w:r>
        <w:t xml:space="preserve"> </w:t>
      </w:r>
      <w:r>
        <w:t xml:space="preserve">Participants will complete a post-experiment survey to gather qualitative feedback.</w:t>
      </w:r>
    </w:p>
    <w:bookmarkEnd w:id="25"/>
    <w:bookmarkEnd w:id="26"/>
    <w:bookmarkStart w:id="30" w:name="variables"/>
    <w:p>
      <w:pPr>
        <w:pStyle w:val="Heading2"/>
      </w:pPr>
      <w:r>
        <w:t xml:space="preserve">4. Variables</w:t>
      </w:r>
    </w:p>
    <w:bookmarkStart w:id="27" w:name="independent-variables"/>
    <w:p>
      <w:pPr>
        <w:pStyle w:val="Heading3"/>
      </w:pPr>
      <w:r>
        <w:t xml:space="preserve">4.1 Independent Variables</w:t>
      </w:r>
    </w:p>
    <w:p>
      <w:pPr>
        <w:numPr>
          <w:ilvl w:val="0"/>
          <w:numId w:val="1005"/>
        </w:numPr>
        <w:pStyle w:val="Compact"/>
      </w:pPr>
      <w:r>
        <w:t xml:space="preserve">Type of decision-making (individual vs. group).</w:t>
      </w:r>
    </w:p>
    <w:p>
      <w:pPr>
        <w:numPr>
          <w:ilvl w:val="0"/>
          <w:numId w:val="1005"/>
        </w:numPr>
        <w:pStyle w:val="Compact"/>
      </w:pPr>
      <w:r>
        <w:t xml:space="preserve">Market conditions (stable vs. volatile).</w:t>
      </w:r>
    </w:p>
    <w:p>
      <w:pPr>
        <w:numPr>
          <w:ilvl w:val="0"/>
          <w:numId w:val="1005"/>
        </w:numPr>
        <w:pStyle w:val="Compact"/>
      </w:pPr>
      <w:r>
        <w:t xml:space="preserve">Level of financial literacy.</w:t>
      </w:r>
    </w:p>
    <w:bookmarkEnd w:id="27"/>
    <w:bookmarkStart w:id="28" w:name="dependent-variables"/>
    <w:p>
      <w:pPr>
        <w:pStyle w:val="Heading3"/>
      </w:pPr>
      <w:r>
        <w:t xml:space="preserve">4.2 Dependent Variables</w:t>
      </w:r>
    </w:p>
    <w:p>
      <w:pPr>
        <w:numPr>
          <w:ilvl w:val="0"/>
          <w:numId w:val="1006"/>
        </w:numPr>
        <w:pStyle w:val="Compact"/>
      </w:pPr>
      <w:r>
        <w:t xml:space="preserve">Financial performance (measured by return on investment and risk-adjusted returns).</w:t>
      </w:r>
    </w:p>
    <w:p>
      <w:pPr>
        <w:numPr>
          <w:ilvl w:val="0"/>
          <w:numId w:val="1006"/>
        </w:numPr>
        <w:pStyle w:val="Compact"/>
      </w:pPr>
      <w:r>
        <w:t xml:space="preserve">Decision-making speed and accuracy.</w:t>
      </w:r>
    </w:p>
    <w:p>
      <w:pPr>
        <w:numPr>
          <w:ilvl w:val="0"/>
          <w:numId w:val="1006"/>
        </w:numPr>
        <w:pStyle w:val="Compact"/>
      </w:pPr>
      <w:r>
        <w:t xml:space="preserve">Participant satisfaction and perceived stress levels.</w:t>
      </w:r>
    </w:p>
    <w:bookmarkEnd w:id="28"/>
    <w:bookmarkStart w:id="29" w:name="control-variables"/>
    <w:p>
      <w:pPr>
        <w:pStyle w:val="Heading3"/>
      </w:pPr>
      <w:r>
        <w:t xml:space="preserve">4.3 Control Variables</w:t>
      </w:r>
    </w:p>
    <w:p>
      <w:pPr>
        <w:numPr>
          <w:ilvl w:val="0"/>
          <w:numId w:val="1007"/>
        </w:numPr>
        <w:pStyle w:val="Compact"/>
      </w:pPr>
      <w:r>
        <w:t xml:space="preserve">Initial capital allocated to each participant or group.</w:t>
      </w:r>
    </w:p>
    <w:p>
      <w:pPr>
        <w:numPr>
          <w:ilvl w:val="0"/>
          <w:numId w:val="1007"/>
        </w:numPr>
        <w:pStyle w:val="Compact"/>
      </w:pPr>
      <w:r>
        <w:t xml:space="preserve">Access to information and tools within the simulation.</w:t>
      </w:r>
    </w:p>
    <w:p>
      <w:pPr>
        <w:numPr>
          <w:ilvl w:val="0"/>
          <w:numId w:val="1007"/>
        </w:numPr>
        <w:pStyle w:val="Compact"/>
      </w:pPr>
      <w:r>
        <w:t xml:space="preserve">Duration of each simulation round.</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forth by the Tri-Council Policy Statement (TCPS2) in</w:t>
      </w:r>
      <w:r>
        <w:t xml:space="preserve"> </w:t>
      </w:r>
      <w:r>
        <w:rPr>
          <w:bCs/>
          <w:b/>
        </w:rPr>
        <w:t xml:space="preserve">Canada</w:t>
      </w:r>
      <w:r>
        <w:t xml:space="preserve">. Key considerations include:</w:t>
      </w:r>
    </w:p>
    <w:p>
      <w:pPr>
        <w:numPr>
          <w:ilvl w:val="0"/>
          <w:numId w:val="1008"/>
        </w:numPr>
        <w:pStyle w:val="Compact"/>
      </w:pPr>
      <w:r>
        <w:t xml:space="preserve">Informed consent: Participants will be fully informed about the nature of the study and their rights.</w:t>
      </w:r>
    </w:p>
    <w:p>
      <w:pPr>
        <w:numPr>
          <w:ilvl w:val="0"/>
          <w:numId w:val="1008"/>
        </w:numPr>
        <w:pStyle w:val="Compact"/>
      </w:pPr>
      <w:r>
        <w:t xml:space="preserve">Confidentiality: All participant data will be anonymized and stored securely.</w:t>
      </w:r>
    </w:p>
    <w:p>
      <w:pPr>
        <w:numPr>
          <w:ilvl w:val="0"/>
          <w:numId w:val="1008"/>
        </w:numPr>
        <w:pStyle w:val="Compact"/>
      </w:pPr>
      <w:r>
        <w:t xml:space="preserve">Voluntary participation: Participants may withdraw from the study at any time without penalty.</w:t>
      </w:r>
    </w:p>
    <w:p>
      <w:pPr>
        <w:numPr>
          <w:ilvl w:val="0"/>
          <w:numId w:val="1008"/>
        </w:numPr>
        <w:pStyle w:val="Compact"/>
      </w:pPr>
      <w:r>
        <w:t xml:space="preserve">Minimization of harm: The simulation is designed to avoid causing undue stress or financial anxiety.</w:t>
      </w:r>
    </w:p>
    <w:bookmarkEnd w:id="31"/>
    <w:bookmarkStart w:id="32" w:name="data-analysis"/>
    <w:p>
      <w:pPr>
        <w:pStyle w:val="Heading2"/>
      </w:pPr>
      <w:r>
        <w:t xml:space="preserve">6. Data Analysis</w:t>
      </w:r>
    </w:p>
    <w:p>
      <w:pPr>
        <w:pStyle w:val="FirstParagraph"/>
      </w:pPr>
      <w:r>
        <w:t xml:space="preserve">Data collected during the</w:t>
      </w:r>
      <w:r>
        <w:t xml:space="preserve"> </w:t>
      </w:r>
      <w:r>
        <w:rPr>
          <w:bCs/>
          <w:b/>
        </w:rPr>
        <w:t xml:space="preserve">Experiment Protocol</w:t>
      </w:r>
      <w:r>
        <w:t xml:space="preserve"> </w:t>
      </w:r>
      <w:r>
        <w:t xml:space="preserve">will be analyzed using both quantitative and qualitative methods:</w:t>
      </w:r>
    </w:p>
    <w:p>
      <w:pPr>
        <w:numPr>
          <w:ilvl w:val="0"/>
          <w:numId w:val="1009"/>
        </w:numPr>
        <w:pStyle w:val="Compact"/>
      </w:pPr>
      <w:r>
        <w:rPr>
          <w:bCs/>
          <w:b/>
        </w:rPr>
        <w:t xml:space="preserve">Quantitative Analysis:</w:t>
      </w:r>
      <w:r>
        <w:t xml:space="preserve"> </w:t>
      </w:r>
      <w:r>
        <w:t xml:space="preserve">Statistical tests will be conducted to compare financial performance and decision-making metrics across different groups and conditions.</w:t>
      </w:r>
    </w:p>
    <w:p>
      <w:pPr>
        <w:numPr>
          <w:ilvl w:val="0"/>
          <w:numId w:val="1009"/>
        </w:numPr>
        <w:pStyle w:val="Compact"/>
      </w:pPr>
      <w:r>
        <w:rPr>
          <w:bCs/>
          <w:b/>
        </w:rPr>
        <w:t xml:space="preserve">Qualitative Analysis:</w:t>
      </w:r>
      <w:r>
        <w:t xml:space="preserve"> </w:t>
      </w:r>
      <w:r>
        <w:t xml:space="preserve">Thematic analysis will be applied to participant feedback to identify patterns and insights.</w:t>
      </w:r>
    </w:p>
    <w:bookmarkEnd w:id="32"/>
    <w:bookmarkStart w:id="33" w:name="expected-outcomes"/>
    <w:p>
      <w:pPr>
        <w:pStyle w:val="Heading2"/>
      </w:pPr>
      <w:r>
        <w:t xml:space="preserve">7. Expected Outcomes</w:t>
      </w:r>
    </w:p>
    <w:p>
      <w:pPr>
        <w:pStyle w:val="FirstParagraph"/>
      </w:pPr>
      <w:r>
        <w:t xml:space="preserve">The</w:t>
      </w:r>
      <w:r>
        <w:t xml:space="preserve"> </w:t>
      </w:r>
      <w:r>
        <w:rPr>
          <w:bCs/>
          <w:b/>
        </w:rPr>
        <w:t xml:space="preserve">Experiment Protocol</w:t>
      </w:r>
      <w:r>
        <w:t xml:space="preserve"> </w:t>
      </w:r>
      <w:r>
        <w:t xml:space="preserve">aims to produce the following outcomes:</w:t>
      </w:r>
    </w:p>
    <w:p>
      <w:pPr>
        <w:numPr>
          <w:ilvl w:val="0"/>
          <w:numId w:val="1010"/>
        </w:numPr>
        <w:pStyle w:val="Compact"/>
      </w:pPr>
      <w:r>
        <w:t xml:space="preserve">A deeper understanding of how "Bankers" in</w:t>
      </w:r>
      <w:r>
        <w:t xml:space="preserve"> </w:t>
      </w:r>
      <w:r>
        <w:rPr>
          <w:bCs/>
          <w:b/>
        </w:rPr>
        <w:t xml:space="preserve">Canada Montreal</w:t>
      </w:r>
      <w:r>
        <w:t xml:space="preserve"> </w:t>
      </w:r>
      <w:r>
        <w:t xml:space="preserve">approach financial decision-making.</w:t>
      </w:r>
    </w:p>
    <w:p>
      <w:pPr>
        <w:numPr>
          <w:ilvl w:val="0"/>
          <w:numId w:val="1010"/>
        </w:numPr>
        <w:pStyle w:val="Compact"/>
      </w:pPr>
      <w:r>
        <w:t xml:space="preserve">Evidence-based recommendations for improving financial education and training programs.</w:t>
      </w:r>
    </w:p>
    <w:p>
      <w:pPr>
        <w:numPr>
          <w:ilvl w:val="0"/>
          <w:numId w:val="1010"/>
        </w:numPr>
        <w:pStyle w:val="Compact"/>
      </w:pPr>
      <w:r>
        <w:t xml:space="preserve">Insights into the role of collaboration and diversity in enhancing financial outcomes.</w:t>
      </w:r>
    </w:p>
    <w:bookmarkEnd w:id="33"/>
    <w:bookmarkStart w:id="34"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for "The Banker" represents a significant step forward in understanding financial behavior in</w:t>
      </w:r>
      <w:r>
        <w:t xml:space="preserve"> </w:t>
      </w:r>
      <w:r>
        <w:rPr>
          <w:bCs/>
          <w:b/>
        </w:rPr>
        <w:t xml:space="preserve">Canada Montreal</w:t>
      </w:r>
      <w:r>
        <w:t xml:space="preserve">. By combining rigorous methodology with a focus on real-world applicability, the study seeks to contribute valuable knowledge to both academia and industry. The findings will not only advance our understanding of financial decision-making but also inform strategies for fostering economic resilience in urban environments like</w:t>
      </w:r>
      <w:r>
        <w:t xml:space="preserve"> </w:t>
      </w:r>
      <w:r>
        <w:rPr>
          <w:bCs/>
          <w:b/>
        </w:rPr>
        <w:t xml:space="preserve">Canada Montreal</w:t>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Banker - Canada Montreal</dc:title>
  <dc:creator/>
  <dc:language>en</dc:language>
  <cp:keywords/>
  <dcterms:created xsi:type="dcterms:W3CDTF">2026-10-10T09:01:14Z</dcterms:created>
  <dcterms:modified xsi:type="dcterms:W3CDTF">2026-10-10T09:01:14Z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