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China</w:t>
      </w:r>
      <w:r>
        <w:t xml:space="preserve"> </w:t>
      </w:r>
      <w:r>
        <w:t xml:space="preserve">Beijing</w:t>
      </w:r>
    </w:p>
    <w:bookmarkStart w:id="20" w:name="X5cf492a8a7bc6de785823faef77b37f255e9471"/>
    <w:p>
      <w:pPr>
        <w:pStyle w:val="Heading1"/>
      </w:pPr>
      <w:r>
        <w:t xml:space="preserve">Experiment Protocol: Banker Role Simulation in China Beijing</w:t>
      </w:r>
    </w:p>
    <w:p>
      <w:pPr>
        <w:pStyle w:val="FirstParagraph"/>
      </w:pPr>
      <w:r>
        <w:rPr>
          <w:bCs/>
          <w:b/>
        </w:rPr>
        <w:t xml:space="preserve">Document ID:</w:t>
      </w:r>
      <w:r>
        <w:t xml:space="preserve"> </w:t>
      </w:r>
      <w:r>
        <w:t xml:space="preserve">EXP-BJ-BNK-2024-001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China Beijing, Chaoyang District Financial Center</w:t>
      </w:r>
    </w:p>
    <w:p>
      <w:pPr>
        <w:pStyle w:val="BodyText"/>
      </w:pPr>
      <w:r>
        <w:rPr>
          <w:bCs/>
          <w:b/>
        </w:rPr>
        <w:t xml:space="preserve">Version:</w:t>
      </w:r>
      <w:r>
        <w:t xml:space="preserve"> </w:t>
      </w:r>
      <w:r>
        <w:t xml:space="preserve">1.0</w:t>
      </w:r>
    </w:p>
    <w:bookmarkEnd w:id="20"/>
    <w:p>
      <w:pPr>
        <w:pStyle w:val="BodyText"/>
      </w:pPr>
      <w:r>
        <w:t xml:space="preserve">1. Objective</w:t>
      </w:r>
    </w:p>
    <w:p>
      <w:pPr>
        <w:pStyle w:val="BodyText"/>
      </w:pPr>
      <w:r>
        <w:t xml:space="preserve">The primary objective of this Experiment Protocol is to evaluate the operational efficiency, decision-making accuracy, and regulatory compliance of a simulated Banker role within the specific economic and cultural context of China Beijing. This experiment aims to assess how a Banker interacts with local financial regulations, digital banking infrastructure (such as UnionPay and mobile payment ecosystems), and client expectations unique to the Beijing metropolitan area.</w:t>
      </w:r>
    </w:p>
    <w:p>
      <w:pPr>
        <w:pStyle w:val="BodyText"/>
      </w:pPr>
      <w:r>
        <w:t xml:space="preserve">2. Scope and Context</w:t>
      </w:r>
    </w:p>
    <w:p>
      <w:pPr>
        <w:pStyle w:val="BodyText"/>
      </w:pPr>
      <w:r>
        <w:t xml:space="preserve">This protocol is strictly confined to the jurisdiction of China Beijing. The experiment will simulate real-world banking scenarios relevant to the region, including cross-border transactions, local currency management (CNY), and adherence to the People's Bank of China (PBC) guidelines. The Banker subject will operate within a controlled environment that mirrors the high-density financial activity typical of Beijing's central business districts.</w:t>
      </w:r>
    </w:p>
    <w:p>
      <w:pPr>
        <w:pStyle w:val="BodyText"/>
      </w:pPr>
      <w:r>
        <w:t xml:space="preserve">3. Participants and Roles</w:t>
      </w:r>
    </w:p>
    <w:p>
      <w:pPr>
        <w:numPr>
          <w:ilvl w:val="0"/>
          <w:numId w:val="1001"/>
        </w:numPr>
        <w:pStyle w:val="Compact"/>
      </w:pPr>
      <w:r>
        <w:rPr>
          <w:bCs/>
          <w:b/>
        </w:rPr>
        <w:t xml:space="preserve">The Banker:</w:t>
      </w:r>
      <w:r>
        <w:t xml:space="preserve"> </w:t>
      </w:r>
      <w:r>
        <w:t xml:space="preserve">A trained financial professional or AI-driven simulation agent acting as the primary decision-maker. The Banker must demonstrate proficiency in Chinese banking laws and English communication protocols.</w:t>
      </w:r>
    </w:p>
    <w:p>
      <w:pPr>
        <w:numPr>
          <w:ilvl w:val="0"/>
          <w:numId w:val="1001"/>
        </w:numPr>
        <w:pStyle w:val="Compact"/>
      </w:pPr>
      <w:r>
        <w:rPr>
          <w:bCs/>
          <w:b/>
        </w:rPr>
        <w:t xml:space="preserve">The Clients:</w:t>
      </w:r>
      <w:r>
        <w:t xml:space="preserve"> </w:t>
      </w:r>
      <w:r>
        <w:t xml:space="preserve">Simulated entities representing diverse demographics found in China Beijing, including local residents, expatriates, and corporate clients.</w:t>
      </w:r>
    </w:p>
    <w:p>
      <w:pPr>
        <w:numPr>
          <w:ilvl w:val="0"/>
          <w:numId w:val="1001"/>
        </w:numPr>
        <w:pStyle w:val="Compact"/>
      </w:pPr>
      <w:r>
        <w:rPr>
          <w:bCs/>
          <w:b/>
        </w:rPr>
        <w:t xml:space="preserve">The Observers:</w:t>
      </w:r>
      <w:r>
        <w:t xml:space="preserve"> </w:t>
      </w:r>
      <w:r>
        <w:t xml:space="preserve">Independent auditors responsible for monitoring compliance with the Experiment Protocol and recording data.</w:t>
      </w:r>
    </w:p>
    <w:p>
      <w:pPr>
        <w:pStyle w:val="FirstParagraph"/>
      </w:pPr>
      <w:r>
        <w:t xml:space="preserve">4. Methodology</w:t>
      </w:r>
    </w:p>
    <w:p>
      <w:pPr>
        <w:pStyle w:val="BodyText"/>
      </w:pPr>
      <w:r>
        <w:t xml:space="preserve">The experiment will be conducted in three distinct phases over a period of four weeks. All activities will take place in a secure facility located in China Beijing, equipped with real-time data feeds from local financial markets.</w:t>
      </w:r>
    </w:p>
    <w:p>
      <w:pPr>
        <w:numPr>
          <w:ilvl w:val="0"/>
          <w:numId w:val="1002"/>
        </w:numPr>
        <w:pStyle w:val="Compact"/>
      </w:pPr>
      <w:r>
        <w:rPr>
          <w:bCs/>
          <w:b/>
        </w:rPr>
        <w:t xml:space="preserve">Phase 1: Calibration:</w:t>
      </w:r>
      <w:r>
        <w:t xml:space="preserve"> </w:t>
      </w:r>
      <w:r>
        <w:t xml:space="preserve">The Banker will undergo a calibration process to align with current banking standards in China Beijing. This includes reviewing recent policy updates from the China Banking and Insurance Regulatory Commission (CBIRC).</w:t>
      </w:r>
    </w:p>
    <w:p>
      <w:pPr>
        <w:numPr>
          <w:ilvl w:val="0"/>
          <w:numId w:val="1002"/>
        </w:numPr>
        <w:pStyle w:val="Compact"/>
      </w:pPr>
      <w:r>
        <w:rPr>
          <w:bCs/>
          <w:b/>
        </w:rPr>
        <w:t xml:space="preserve">Phase 2: Simulation:</w:t>
      </w:r>
      <w:r>
        <w:t xml:space="preserve"> </w:t>
      </w:r>
      <w:r>
        <w:t xml:space="preserve">The Banker will engage in 500 simulated transactions. These scenarios will include loan approvals, fraud detection, wealth management advice, and handling of digital currency inquiries.</w:t>
      </w:r>
    </w:p>
    <w:p>
      <w:pPr>
        <w:numPr>
          <w:ilvl w:val="0"/>
          <w:numId w:val="1002"/>
        </w:numPr>
        <w:pStyle w:val="Compact"/>
      </w:pPr>
      <w:r>
        <w:rPr>
          <w:bCs/>
          <w:b/>
        </w:rPr>
        <w:t xml:space="preserve">Phase 3: Analysis:</w:t>
      </w:r>
      <w:r>
        <w:t xml:space="preserve"> </w:t>
      </w:r>
      <w:r>
        <w:t xml:space="preserve">Data collected during the simulation will be analyzed to determine the Banker's performance metrics against established benchmarks.</w:t>
      </w:r>
    </w:p>
    <w:p>
      <w:pPr>
        <w:pStyle w:val="FirstParagraph"/>
      </w:pPr>
      <w:r>
        <w:t xml:space="preserve">5. Procedures</w:t>
      </w:r>
    </w:p>
    <w:p>
      <w:pPr>
        <w:pStyle w:val="BodyText"/>
      </w:pPr>
      <w:r>
        <w:t xml:space="preserve">Each simulation session will follow a standardized procedure to ensure consistency and validity of results.</w:t>
      </w:r>
    </w:p>
    <w:p>
      <w:pPr>
        <w:numPr>
          <w:ilvl w:val="0"/>
          <w:numId w:val="1003"/>
        </w:numPr>
        <w:pStyle w:val="Compact"/>
      </w:pPr>
      <w:r>
        <w:rPr>
          <w:bCs/>
          <w:b/>
        </w:rPr>
        <w:t xml:space="preserve">Initialization:</w:t>
      </w:r>
      <w:r>
        <w:t xml:space="preserve"> </w:t>
      </w:r>
      <w:r>
        <w:t xml:space="preserve">The system will generate a client profile specific to the China Beijing demographic. The Banker will be presented with the client's financial history and request.</w:t>
      </w:r>
    </w:p>
    <w:p>
      <w:pPr>
        <w:numPr>
          <w:ilvl w:val="0"/>
          <w:numId w:val="1003"/>
        </w:numPr>
        <w:pStyle w:val="Compact"/>
      </w:pPr>
      <w:r>
        <w:rPr>
          <w:bCs/>
          <w:b/>
        </w:rPr>
        <w:t xml:space="preserve">Interaction:</w:t>
      </w:r>
      <w:r>
        <w:t xml:space="preserve"> </w:t>
      </w:r>
      <w:r>
        <w:t xml:space="preserve">The Banker must assess the request, verify identity using simulated facial recognition and ID checks common in China, and propose a financial solution.</w:t>
      </w:r>
    </w:p>
    <w:p>
      <w:pPr>
        <w:numPr>
          <w:ilvl w:val="0"/>
          <w:numId w:val="1003"/>
        </w:numPr>
        <w:pStyle w:val="Compact"/>
      </w:pPr>
      <w:r>
        <w:rPr>
          <w:bCs/>
          <w:b/>
        </w:rPr>
        <w:t xml:space="preserve">Decision Logging:</w:t>
      </w:r>
      <w:r>
        <w:t xml:space="preserve"> </w:t>
      </w:r>
      <w:r>
        <w:t xml:space="preserve">Every decision made by the Banker, including risk assessments and interest rate calculations, will be logged automatically.</w:t>
      </w:r>
    </w:p>
    <w:p>
      <w:pPr>
        <w:numPr>
          <w:ilvl w:val="0"/>
          <w:numId w:val="1003"/>
        </w:numPr>
        <w:pStyle w:val="Compact"/>
      </w:pPr>
      <w:r>
        <w:rPr>
          <w:bCs/>
          <w:b/>
        </w:rPr>
        <w:t xml:space="preserve">Compliance Check:</w:t>
      </w:r>
      <w:r>
        <w:t xml:space="preserve"> </w:t>
      </w:r>
      <w:r>
        <w:t xml:space="preserve">The system will immediately flag any action that violates local regulations in China Beijing.</w:t>
      </w:r>
    </w:p>
    <w:p>
      <w:pPr>
        <w:pStyle w:val="FirstParagraph"/>
      </w:pPr>
      <w:r>
        <w:t xml:space="preserve">6. Data Collection and Metrics</w:t>
      </w:r>
    </w:p>
    <w:p>
      <w:pPr>
        <w:pStyle w:val="BodyText"/>
      </w:pPr>
      <w:r>
        <w:t xml:space="preserve">The following key performance indicators (KPIs) will be measured to evaluate the Banker's effectiveness:</w:t>
      </w:r>
    </w:p>
    <w:p>
      <w:pPr>
        <w:numPr>
          <w:ilvl w:val="0"/>
          <w:numId w:val="1004"/>
        </w:numPr>
        <w:pStyle w:val="Compact"/>
      </w:pPr>
      <w:r>
        <w:rPr>
          <w:bCs/>
          <w:b/>
        </w:rPr>
        <w:t xml:space="preserve">Accuracy Rate:</w:t>
      </w:r>
      <w:r>
        <w:t xml:space="preserve"> </w:t>
      </w:r>
      <w:r>
        <w:t xml:space="preserve">Percentage of correct financial decisions based on optimal outcomes.</w:t>
      </w:r>
    </w:p>
    <w:p>
      <w:pPr>
        <w:numPr>
          <w:ilvl w:val="0"/>
          <w:numId w:val="1004"/>
        </w:numPr>
        <w:pStyle w:val="Compact"/>
      </w:pPr>
      <w:r>
        <w:rPr>
          <w:bCs/>
          <w:b/>
        </w:rPr>
        <w:t xml:space="preserve">Compliance Score:</w:t>
      </w:r>
      <w:r>
        <w:t xml:space="preserve"> </w:t>
      </w:r>
      <w:r>
        <w:t xml:space="preserve">Adherence to banking laws and regulations specific to China Beijing.</w:t>
      </w:r>
    </w:p>
    <w:p>
      <w:pPr>
        <w:numPr>
          <w:ilvl w:val="0"/>
          <w:numId w:val="1004"/>
        </w:numPr>
        <w:pStyle w:val="Compact"/>
      </w:pPr>
      <w:r>
        <w:rPr>
          <w:bCs/>
          <w:b/>
        </w:rPr>
        <w:t xml:space="preserve">Efficiency:</w:t>
      </w:r>
      <w:r>
        <w:t xml:space="preserve"> </w:t>
      </w:r>
      <w:r>
        <w:t xml:space="preserve">Average time taken to process a transaction.</w:t>
      </w:r>
    </w:p>
    <w:p>
      <w:pPr>
        <w:numPr>
          <w:ilvl w:val="0"/>
          <w:numId w:val="1004"/>
        </w:numPr>
        <w:pStyle w:val="Compact"/>
      </w:pPr>
      <w:r>
        <w:rPr>
          <w:bCs/>
          <w:b/>
        </w:rPr>
        <w:t xml:space="preserve">Client Satisfaction:</w:t>
      </w:r>
      <w:r>
        <w:t xml:space="preserve"> </w:t>
      </w:r>
      <w:r>
        <w:t xml:space="preserve">Simulated feedback scores from clients regarding the Banker's service quality.</w:t>
      </w:r>
    </w:p>
    <w:p>
      <w:pPr>
        <w:pStyle w:val="FirstParagraph"/>
      </w:pPr>
      <w:r>
        <w:t xml:space="preserve">7. Ethical Considerations and Privacy</w:t>
      </w:r>
    </w:p>
    <w:p>
      <w:pPr>
        <w:pStyle w:val="BodyText"/>
      </w:pPr>
      <w:r>
        <w:t xml:space="preserve">This Experiment Protocol strictly adheres to the Personal Information Protection Law (PIPL) of China. No real personal data will be used in the simulation. All client profiles are synthetic. The Banker and participants are informed of the experimental nature of the interactions. Data security measures will be implemented to prevent unauthorized access to the experiment logs.</w:t>
      </w:r>
    </w:p>
    <w:p>
      <w:pPr>
        <w:pStyle w:val="BodyText"/>
      </w:pPr>
      <w:r>
        <w:t xml:space="preserve">8. Risk Management</w:t>
      </w:r>
    </w:p>
    <w:p>
      <w:pPr>
        <w:pStyle w:val="BodyText"/>
      </w:pPr>
      <w:r>
        <w:t xml:space="preserve">Potential risks include system failures, biased simulation scenarios, or misinterpretation of regulatory requirements. To mitigate these risks, the experiment will include regular system checks, diverse scenario generation algorithms, and oversight by legal experts familiar with the financial landscape of China Beijing.</w:t>
      </w:r>
    </w:p>
    <w:p>
      <w:pPr>
        <w:pStyle w:val="BodyText"/>
      </w:pPr>
      <w:r>
        <w:t xml:space="preserve">9. Conclusion and Reporting</w:t>
      </w:r>
    </w:p>
    <w:p>
      <w:pPr>
        <w:pStyle w:val="BodyText"/>
      </w:pPr>
      <w:r>
        <w:t xml:space="preserve">Upon completion of the experiment, a comprehensive report will be generated. This report will detail the Banker's performance, identify areas for improvement, and provide recommendations for enhancing banking services in China Beijing. The findings will be submitted to the relevant stakeholders for review and potential implementation.</w:t>
      </w:r>
    </w:p>
    <w:p>
      <w:pPr>
        <w:pStyle w:val="BodyText"/>
      </w:pPr>
      <w:r>
        <w:t xml:space="preserve">This document is confidential and intended solely for the use of authorized personnel involved in the Experiment Protocol. Unauthorized distribution or reproduction is prohibited.</w:t>
      </w:r>
    </w:p>
    <w:p>
      <w:pPr>
        <w:pStyle w:val="BodyText"/>
      </w:pPr>
      <w:r>
        <w:t xml:space="preserve">© 2023 Financial Research Institute, China Beijing.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China Beijing</dc:title>
  <dc:creator/>
  <dc:language>en</dc:language>
  <cp:keywords/>
  <dcterms:created xsi:type="dcterms:W3CDTF">2026-10-10T03:08:00Z</dcterms:created>
  <dcterms:modified xsi:type="dcterms:W3CDTF">2026-10-10T03:08:00Z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