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India</w:t>
      </w:r>
      <w:r>
        <w:t xml:space="preserve"> </w:t>
      </w:r>
      <w:r>
        <w:t xml:space="preserve">Mumbai</w:t>
      </w:r>
    </w:p>
    <w:bookmarkStart w:id="20" w:name="Xed0d77aa2f9be31e8bb17cefef4365473ec6a6e"/>
    <w:p>
      <w:pPr>
        <w:pStyle w:val="Heading1"/>
      </w:pPr>
      <w:r>
        <w:t xml:space="preserve">Experiment Protocol: Banker Role Simulation in India Mumbai</w:t>
      </w:r>
    </w:p>
    <w:p>
      <w:pPr>
        <w:pStyle w:val="FirstParagraph"/>
      </w:pPr>
      <w:r>
        <w:rPr>
          <w:bCs/>
          <w:b/>
        </w:rPr>
        <w:t xml:space="preserve">Protocol ID:</w:t>
      </w:r>
      <w:r>
        <w:t xml:space="preserve"> </w:t>
      </w:r>
      <w:r>
        <w:t xml:space="preserve">EXP-BNK-MUM-2024-001</w:t>
      </w:r>
    </w:p>
    <w:p>
      <w:pPr>
        <w:pStyle w:val="BodyText"/>
      </w:pPr>
      <w:r>
        <w:rPr>
          <w:bCs/>
          <w:b/>
        </w:rPr>
        <w:t xml:space="preserve">Location:</w:t>
      </w:r>
      <w:r>
        <w:t xml:space="preserve"> </w:t>
      </w:r>
      <w:r>
        <w:t xml:space="preserve">Mumbai, Maharashtra, India</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methodology, procedures, and ethical considerations for conducting a controlled simulation of the Banker role within the financial ecosystem of India Mumbai. The primary objective is to evaluate decision-making processes, risk assessment strategies, and customer interaction protocols under simulated market conditions reflective of Mumbai's dynamic financial environment.</w:t>
      </w:r>
    </w:p>
    <w:p>
      <w:pPr>
        <w:pStyle w:val="BodyText"/>
      </w:pPr>
      <w:r>
        <w:t xml:space="preserve">Mumbai, as the financial capital of India, presents a unique context characterized by high transaction volumes, diverse customer demographics, and stringent regulatory oversight by the Reserve Bank of India (RBI). This protocol ensures that the simulation accurately reflects these local conditions while maintaining scientific rigor and ethical standards.</w:t>
      </w:r>
    </w:p>
    <w:p>
      <w:pPr>
        <w:pStyle w:val="BodyText"/>
      </w:pPr>
      <w:r>
        <w:t xml:space="preserve">2. Objectives</w:t>
      </w:r>
    </w:p>
    <w:p>
      <w:pPr>
        <w:numPr>
          <w:ilvl w:val="0"/>
          <w:numId w:val="1001"/>
        </w:numPr>
        <w:pStyle w:val="Compact"/>
      </w:pPr>
      <w:r>
        <w:t xml:space="preserve">To assess the effectiveness of Banker training programs in handling complex financial scenarios specific to Mumbai.</w:t>
      </w:r>
    </w:p>
    <w:p>
      <w:pPr>
        <w:numPr>
          <w:ilvl w:val="0"/>
          <w:numId w:val="1001"/>
        </w:numPr>
        <w:pStyle w:val="Compact"/>
      </w:pPr>
      <w:r>
        <w:t xml:space="preserve">To evaluate risk management decisions under simulated market volatility.</w:t>
      </w:r>
    </w:p>
    <w:p>
      <w:pPr>
        <w:numPr>
          <w:ilvl w:val="0"/>
          <w:numId w:val="1001"/>
        </w:numPr>
        <w:pStyle w:val="Compact"/>
      </w:pPr>
      <w:r>
        <w:t xml:space="preserve">To analyze customer satisfaction metrics based on interaction quality and resolution efficiency.</w:t>
      </w:r>
    </w:p>
    <w:p>
      <w:pPr>
        <w:numPr>
          <w:ilvl w:val="0"/>
          <w:numId w:val="1001"/>
        </w:numPr>
        <w:pStyle w:val="Compact"/>
      </w:pPr>
      <w:r>
        <w:t xml:space="preserve">To identify gaps in current banking practices and propose evidence-based improvements.</w:t>
      </w:r>
    </w:p>
    <w:p>
      <w:pPr>
        <w:pStyle w:val="FirstParagraph"/>
      </w:pPr>
      <w:r>
        <w:t xml:space="preserve">3. Scope</w:t>
      </w:r>
    </w:p>
    <w:p>
      <w:pPr>
        <w:pStyle w:val="BodyText"/>
      </w:pPr>
      <w:r>
        <w:t xml:space="preserve">This experiment is limited to simulated banking operations conducted within a controlled environment in Mumbai. It involves trained participants acting as Bankers and customers, using realistic financial data and scenarios. The scope excludes live customer transactions or real financial risk exposure.</w:t>
      </w:r>
    </w:p>
    <w:p>
      <w:pPr>
        <w:pStyle w:val="BodyText"/>
      </w:pPr>
      <w:r>
        <w:t xml:space="preserve">4. Methodology</w:t>
      </w:r>
    </w:p>
    <w:p>
      <w:pPr>
        <w:pStyle w:val="BodyText"/>
      </w:pPr>
      <w:r>
        <w:t xml:space="preserve">The experiment will employ a mixed-methods approach, combining quantitative metrics with qualitative observations. Key components include:</w:t>
      </w:r>
    </w:p>
    <w:p>
      <w:pPr>
        <w:numPr>
          <w:ilvl w:val="0"/>
          <w:numId w:val="1002"/>
        </w:numPr>
        <w:pStyle w:val="Compact"/>
      </w:pPr>
      <w:r>
        <w:rPr>
          <w:bCs/>
          <w:b/>
        </w:rPr>
        <w:t xml:space="preserve">Simulation Design:</w:t>
      </w:r>
      <w:r>
        <w:t xml:space="preserve"> </w:t>
      </w:r>
      <w:r>
        <w:t xml:space="preserve">Scenarios will mirror typical Mumbai banking operations, including retail banking, corporate finance, and digital banking interactions.</w:t>
      </w:r>
    </w:p>
    <w:p>
      <w:pPr>
        <w:numPr>
          <w:ilvl w:val="0"/>
          <w:numId w:val="1002"/>
        </w:numPr>
        <w:pStyle w:val="Compact"/>
      </w:pPr>
      <w:r>
        <w:rPr>
          <w:bCs/>
          <w:b/>
        </w:rPr>
        <w:t xml:space="preserve">Participant Selection:</w:t>
      </w:r>
      <w:r>
        <w:t xml:space="preserve"> </w:t>
      </w:r>
      <w:r>
        <w:t xml:space="preserve">Banker participants will be recruited from local banking institutions in Mumbai, ensuring diversity in experience levels.</w:t>
      </w:r>
    </w:p>
    <w:p>
      <w:pPr>
        <w:numPr>
          <w:ilvl w:val="0"/>
          <w:numId w:val="1002"/>
        </w:numPr>
        <w:pStyle w:val="Compact"/>
      </w:pPr>
      <w:r>
        <w:rPr>
          <w:bCs/>
          <w:b/>
        </w:rPr>
        <w:t xml:space="preserve">Data Collection:</w:t>
      </w:r>
      <w:r>
        <w:t xml:space="preserve"> </w:t>
      </w:r>
      <w:r>
        <w:t xml:space="preserve">Metrics will include decision accuracy, response time, compliance adherence, and customer satisfaction scores.</w:t>
      </w:r>
    </w:p>
    <w:p>
      <w:pPr>
        <w:numPr>
          <w:ilvl w:val="0"/>
          <w:numId w:val="1002"/>
        </w:numPr>
        <w:pStyle w:val="Compact"/>
      </w:pPr>
      <w:r>
        <w:rPr>
          <w:bCs/>
          <w:b/>
        </w:rPr>
        <w:t xml:space="preserve">Analysis:</w:t>
      </w:r>
      <w:r>
        <w:t xml:space="preserve"> </w:t>
      </w:r>
      <w:r>
        <w:t xml:space="preserve">Statistical analysis will be performed to identify patterns and correlations in performance data.</w:t>
      </w:r>
    </w:p>
    <w:p>
      <w:pPr>
        <w:pStyle w:val="FirstParagraph"/>
      </w:pPr>
      <w:r>
        <w:t xml:space="preserve">5. Experimental Setup</w:t>
      </w:r>
    </w:p>
    <w:p>
      <w:pPr>
        <w:pStyle w:val="BodyText"/>
      </w:pPr>
      <w:r>
        <w:t xml:space="preserve">The simulation will be conducted in a dedicated facility in Mumbai equipped with banking software, communication tools, and observation systems. Each session will last approximately 4 hours, with breaks scheduled to maintain participant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Description</w:t>
            </w:r>
          </w:p>
        </w:tc>
      </w:tr>
      <w:tr>
        <w:tc>
          <w:tcPr/>
          <w:p>
            <w:pPr>
              <w:pStyle w:val="Compact"/>
              <w:jc w:val="left"/>
            </w:pPr>
            <w:r>
              <w:t xml:space="preserve">Software</w:t>
            </w:r>
          </w:p>
        </w:tc>
        <w:tc>
          <w:tcPr/>
          <w:p>
            <w:pPr>
              <w:pStyle w:val="Compact"/>
              <w:jc w:val="left"/>
            </w:pPr>
            <w:r>
              <w:t xml:space="preserve">Custom banking simulation platform aligned with RBI guidelines</w:t>
            </w:r>
          </w:p>
        </w:tc>
      </w:tr>
      <w:tr>
        <w:tc>
          <w:tcPr/>
          <w:p>
            <w:pPr>
              <w:pStyle w:val="Compact"/>
              <w:jc w:val="left"/>
            </w:pPr>
            <w:r>
              <w:t xml:space="preserve">Scenarios</w:t>
            </w:r>
          </w:p>
        </w:tc>
        <w:tc>
          <w:tcPr/>
          <w:p>
            <w:pPr>
              <w:pStyle w:val="Compact"/>
              <w:jc w:val="left"/>
            </w:pPr>
            <w:r>
              <w:t xml:space="preserve">Loan approvals, fraud detection, customer complaints, digital onboarding</w:t>
            </w:r>
          </w:p>
        </w:tc>
      </w:tr>
      <w:tr>
        <w:tc>
          <w:tcPr/>
          <w:p>
            <w:pPr>
              <w:pStyle w:val="Compact"/>
              <w:jc w:val="left"/>
            </w:pPr>
            <w:r>
              <w:t xml:space="preserve">Participants</w:t>
            </w:r>
          </w:p>
        </w:tc>
        <w:tc>
          <w:tcPr/>
          <w:p>
            <w:pPr>
              <w:pStyle w:val="Compact"/>
              <w:jc w:val="left"/>
            </w:pPr>
            <w:r>
              <w:t xml:space="preserve">20 Bankers, 40 simulated customers</w:t>
            </w:r>
          </w:p>
        </w:tc>
      </w:tr>
      <w:tr>
        <w:tc>
          <w:tcPr/>
          <w:p>
            <w:pPr>
              <w:pStyle w:val="Compact"/>
              <w:jc w:val="left"/>
            </w:pPr>
            <w:r>
              <w:t xml:space="preserve">Duration</w:t>
            </w:r>
          </w:p>
        </w:tc>
        <w:tc>
          <w:tcPr/>
          <w:p>
            <w:pPr>
              <w:pStyle w:val="Compact"/>
              <w:jc w:val="left"/>
            </w:pPr>
            <w:r>
              <w:t xml:space="preserve">4 hours per session, 5 sessions total</w:t>
            </w:r>
          </w:p>
        </w:tc>
      </w:tr>
    </w:tbl>
    <w:p>
      <w:pPr>
        <w:pStyle w:val="BodyText"/>
      </w:pPr>
      <w:r>
        <w:t xml:space="preserve">6. Procedures</w:t>
      </w:r>
    </w:p>
    <w:p>
      <w:pPr>
        <w:numPr>
          <w:ilvl w:val="0"/>
          <w:numId w:val="1003"/>
        </w:numPr>
        <w:pStyle w:val="Compact"/>
      </w:pPr>
      <w:r>
        <w:rPr>
          <w:bCs/>
          <w:b/>
        </w:rPr>
        <w:t xml:space="preserve">Preparation:</w:t>
      </w:r>
      <w:r>
        <w:t xml:space="preserve"> </w:t>
      </w:r>
      <w:r>
        <w:t xml:space="preserve">Participants will receive briefing materials and undergo a short orientation session.</w:t>
      </w:r>
    </w:p>
    <w:p>
      <w:pPr>
        <w:numPr>
          <w:ilvl w:val="0"/>
          <w:numId w:val="1003"/>
        </w:numPr>
        <w:pStyle w:val="Compact"/>
      </w:pPr>
      <w:r>
        <w:rPr>
          <w:bCs/>
          <w:b/>
        </w:rPr>
        <w:t xml:space="preserve">Simulation Execution:</w:t>
      </w:r>
      <w:r>
        <w:t xml:space="preserve"> </w:t>
      </w:r>
      <w:r>
        <w:t xml:space="preserve">Bankers will engage with simulated customers, making decisions based on provided data and protocols.</w:t>
      </w:r>
    </w:p>
    <w:p>
      <w:pPr>
        <w:numPr>
          <w:ilvl w:val="0"/>
          <w:numId w:val="1003"/>
        </w:numPr>
        <w:pStyle w:val="Compact"/>
      </w:pPr>
      <w:r>
        <w:rPr>
          <w:bCs/>
          <w:b/>
        </w:rPr>
        <w:t xml:space="preserve">Monitoring:</w:t>
      </w:r>
      <w:r>
        <w:t xml:space="preserve"> </w:t>
      </w:r>
      <w:r>
        <w:t xml:space="preserve">Observers will record interactions, decisions, and outcomes using standardized forms.</w:t>
      </w:r>
    </w:p>
    <w:p>
      <w:pPr>
        <w:numPr>
          <w:ilvl w:val="0"/>
          <w:numId w:val="1003"/>
        </w:numPr>
        <w:pStyle w:val="Compact"/>
      </w:pPr>
      <w:r>
        <w:rPr>
          <w:bCs/>
          <w:b/>
        </w:rPr>
        <w:t xml:space="preserve">Debriefing:</w:t>
      </w:r>
      <w:r>
        <w:t xml:space="preserve"> </w:t>
      </w:r>
      <w:r>
        <w:t xml:space="preserve">Post-session discussions will gather participant feedback and insights.</w:t>
      </w:r>
    </w:p>
    <w:p>
      <w:pPr>
        <w:numPr>
          <w:ilvl w:val="0"/>
          <w:numId w:val="1003"/>
        </w:numPr>
        <w:pStyle w:val="Compact"/>
      </w:pPr>
      <w:r>
        <w:rPr>
          <w:bCs/>
          <w:b/>
        </w:rPr>
        <w:t xml:space="preserve">Data Analysis:</w:t>
      </w:r>
      <w:r>
        <w:t xml:space="preserve"> </w:t>
      </w:r>
      <w:r>
        <w:t xml:space="preserve">Collected data will be analyzed to evaluate performance against predefined criteria.</w:t>
      </w:r>
    </w:p>
    <w:p>
      <w:pPr>
        <w:pStyle w:val="FirstParagraph"/>
      </w:pPr>
      <w:r>
        <w:t xml:space="preserve">7. Ethical Considerations</w:t>
      </w:r>
    </w:p>
    <w:p>
      <w:pPr>
        <w:pStyle w:val="BodyText"/>
      </w:pPr>
      <w:r>
        <w:t xml:space="preserve">This experiment adheres to ethical standards for human subject research. Key measures include:</w:t>
      </w:r>
    </w:p>
    <w:p>
      <w:pPr>
        <w:numPr>
          <w:ilvl w:val="0"/>
          <w:numId w:val="1004"/>
        </w:numPr>
        <w:pStyle w:val="Compact"/>
      </w:pPr>
      <w:r>
        <w:t xml:space="preserve">Informed consent from all participants.</w:t>
      </w:r>
    </w:p>
    <w:p>
      <w:pPr>
        <w:numPr>
          <w:ilvl w:val="0"/>
          <w:numId w:val="1004"/>
        </w:numPr>
        <w:pStyle w:val="Compact"/>
      </w:pPr>
      <w:r>
        <w:t xml:space="preserve">Confidentiality of personal and financial data.</w:t>
      </w:r>
    </w:p>
    <w:p>
      <w:pPr>
        <w:numPr>
          <w:ilvl w:val="0"/>
          <w:numId w:val="1004"/>
        </w:numPr>
        <w:pStyle w:val="Compact"/>
      </w:pPr>
      <w:r>
        <w:t xml:space="preserve">Voluntary participation with the right to withdraw at any time.</w:t>
      </w:r>
    </w:p>
    <w:p>
      <w:pPr>
        <w:numPr>
          <w:ilvl w:val="0"/>
          <w:numId w:val="1004"/>
        </w:numPr>
        <w:pStyle w:val="Compact"/>
      </w:pPr>
      <w:r>
        <w:t xml:space="preserve">Compliance with Indian regulations and RBI guidelines.</w:t>
      </w:r>
    </w:p>
    <w:p>
      <w:pPr>
        <w:pStyle w:val="FirstParagraph"/>
      </w:pPr>
      <w:r>
        <w:t xml:space="preserve">8. Risk Management</w:t>
      </w:r>
    </w:p>
    <w:p>
      <w:pPr>
        <w:pStyle w:val="BodyText"/>
      </w:pPr>
      <w:r>
        <w:t xml:space="preserve">Potential risks include participant stress, data breaches, and scenario inaccuracies. Mitigation strategies include:</w:t>
      </w:r>
    </w:p>
    <w:p>
      <w:pPr>
        <w:numPr>
          <w:ilvl w:val="0"/>
          <w:numId w:val="1005"/>
        </w:numPr>
        <w:pStyle w:val="Compact"/>
      </w:pPr>
      <w:r>
        <w:t xml:space="preserve">Providing psychological support resources.</w:t>
      </w:r>
    </w:p>
    <w:p>
      <w:pPr>
        <w:numPr>
          <w:ilvl w:val="0"/>
          <w:numId w:val="1005"/>
        </w:numPr>
        <w:pStyle w:val="Compact"/>
      </w:pPr>
      <w:r>
        <w:t xml:space="preserve">Implementing robust data security protocols.</w:t>
      </w:r>
    </w:p>
    <w:p>
      <w:pPr>
        <w:numPr>
          <w:ilvl w:val="0"/>
          <w:numId w:val="1005"/>
        </w:numPr>
        <w:pStyle w:val="Compact"/>
      </w:pPr>
      <w:r>
        <w:t xml:space="preserve">Validating scenarios with industry experts.</w:t>
      </w:r>
    </w:p>
    <w:p>
      <w:pPr>
        <w:pStyle w:val="FirstParagraph"/>
      </w:pPr>
      <w:r>
        <w:t xml:space="preserve">9. Expected Outcomes</w:t>
      </w:r>
    </w:p>
    <w:p>
      <w:pPr>
        <w:pStyle w:val="BodyText"/>
      </w:pPr>
      <w:r>
        <w:t xml:space="preserve">The experiment aims to produce actionable insights into Banker performance in Mumbai's financial context. Expected outcomes include:</w:t>
      </w:r>
    </w:p>
    <w:p>
      <w:pPr>
        <w:numPr>
          <w:ilvl w:val="0"/>
          <w:numId w:val="1006"/>
        </w:numPr>
        <w:pStyle w:val="Compact"/>
      </w:pPr>
      <w:r>
        <w:t xml:space="preserve">Identification of best practices for customer interaction and risk management.</w:t>
      </w:r>
    </w:p>
    <w:p>
      <w:pPr>
        <w:numPr>
          <w:ilvl w:val="0"/>
          <w:numId w:val="1006"/>
        </w:numPr>
        <w:pStyle w:val="Compact"/>
      </w:pPr>
      <w:r>
        <w:t xml:space="preserve">Recommendations for enhancing training programs.</w:t>
      </w:r>
    </w:p>
    <w:p>
      <w:pPr>
        <w:numPr>
          <w:ilvl w:val="0"/>
          <w:numId w:val="1006"/>
        </w:numPr>
        <w:pStyle w:val="Compact"/>
      </w:pPr>
      <w:r>
        <w:t xml:space="preserve">Contributions to the broader understanding of banking operations in India Mumbai.</w:t>
      </w:r>
    </w:p>
    <w:p>
      <w:pPr>
        <w:pStyle w:val="FirstParagraph"/>
      </w:pPr>
      <w:r>
        <w:t xml:space="preserve">10. Conclusion</w:t>
      </w:r>
    </w:p>
    <w:p>
      <w:pPr>
        <w:pStyle w:val="BodyText"/>
      </w:pPr>
      <w:r>
        <w:t xml:space="preserve">This Experiment Protocol provides a structured framework for investigating the Banker role within the unique financial landscape of India Mumbai. By adhering to rigorous scientific and ethical standards, the study seeks to generate valuable insights that can improve banking practices and customer experiences in one of the world's most vibrant financial hubs.</w:t>
      </w:r>
    </w:p>
    <w:p>
      <w:pPr>
        <w:pStyle w:val="BodyText"/>
      </w:pPr>
      <w:r>
        <w:rPr>
          <w:bCs/>
          <w:b/>
        </w:rPr>
        <w:t xml:space="preserve">Prepared by:</w:t>
      </w:r>
      <w:r>
        <w:t xml:space="preserve"> </w:t>
      </w:r>
      <w:r>
        <w:t xml:space="preserve">Research Team, Financial Simulation Lab, Mumbai</w:t>
      </w:r>
      <w:r>
        <w:br/>
      </w:r>
      <w:r>
        <w:rPr>
          <w:bCs/>
          <w:b/>
        </w:rPr>
        <w:t xml:space="preserve">Contact:</w:t>
      </w:r>
      <w:r>
        <w:t xml:space="preserve"> </w:t>
      </w:r>
      <w:r>
        <w:t xml:space="preserve">research@financialsimlab.in</w:t>
      </w:r>
      <w:r>
        <w:br/>
      </w:r>
      <w:r>
        <w:rPr>
          <w:bCs/>
          <w:b/>
        </w:rPr>
        <w:t xml:space="preserve">Approval:</w:t>
      </w:r>
      <w:r>
        <w:t xml:space="preserve"> </w:t>
      </w:r>
      <w:r>
        <w:t xml:space="preserve">Ethics Committee, Mumbai Financial Research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India Mumbai</dc:title>
  <dc:creator/>
  <dc:language>en</dc:language>
  <cp:keywords/>
  <dcterms:created xsi:type="dcterms:W3CDTF">2026-10-10T02:15:29Z</dcterms:created>
  <dcterms:modified xsi:type="dcterms:W3CDTF">2026-10-10T02:15:29Z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