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Indonesia</w:t>
      </w:r>
      <w:r>
        <w:t xml:space="preserve"> </w:t>
      </w:r>
      <w:r>
        <w:t xml:space="preserve">Jakarta</w:t>
      </w:r>
    </w:p>
    <w:bookmarkStart w:id="20" w:name="experiment-protocol-banker"/>
    <w:p>
      <w:pPr>
        <w:pStyle w:val="Heading1"/>
      </w:pPr>
      <w:r>
        <w:t xml:space="preserve">Experiment Protocol: Banker</w:t>
      </w:r>
    </w:p>
    <w:p>
      <w:pPr>
        <w:pStyle w:val="FirstParagraph"/>
      </w:pPr>
      <w:r>
        <w:rPr>
          <w:bCs/>
          <w:b/>
        </w:rPr>
        <w:t xml:space="preserve">Location:</w:t>
      </w:r>
      <w:r>
        <w:t xml:space="preserve"> </w:t>
      </w:r>
      <w:r>
        <w:t xml:space="preserve">Indonesia Jakarta</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document outlines the Experiment Protocol for the Banker project, specifically designed for implementation in Indonesia Jakarta. The primary objective of this experiment is to evaluate the effectiveness of a new banking service model tailored to the unique financial landscape of Jakarta. The Banker project aims to enhance customer experience, streamline operations, and improve financial inclusion in the region.</w:t>
      </w:r>
    </w:p>
    <w:p>
      <w:pPr>
        <w:pStyle w:val="BodyText"/>
      </w:pPr>
      <w:r>
        <w:t xml:space="preserve">2. Objectives</w:t>
      </w:r>
    </w:p>
    <w:p>
      <w:pPr>
        <w:pStyle w:val="BodyText"/>
      </w:pPr>
      <w:r>
        <w:t xml:space="preserve">The key objectives of this Experiment Protocol are as follows:</w:t>
      </w:r>
    </w:p>
    <w:p>
      <w:pPr>
        <w:numPr>
          <w:ilvl w:val="0"/>
          <w:numId w:val="1001"/>
        </w:numPr>
        <w:pStyle w:val="Compact"/>
      </w:pPr>
      <w:r>
        <w:t xml:space="preserve">To assess the usability and accessibility of the Banker service model in Indonesia Jakarta.</w:t>
      </w:r>
    </w:p>
    <w:p>
      <w:pPr>
        <w:numPr>
          <w:ilvl w:val="0"/>
          <w:numId w:val="1001"/>
        </w:numPr>
        <w:pStyle w:val="Compact"/>
      </w:pPr>
      <w:r>
        <w:t xml:space="preserve">To measure customer satisfaction and engagement with the new banking features.</w:t>
      </w:r>
    </w:p>
    <w:p>
      <w:pPr>
        <w:numPr>
          <w:ilvl w:val="0"/>
          <w:numId w:val="1001"/>
        </w:numPr>
        <w:pStyle w:val="Compact"/>
      </w:pPr>
      <w:r>
        <w:t xml:space="preserve">To identify potential challenges and areas for improvement in the implementation process.</w:t>
      </w:r>
    </w:p>
    <w:p>
      <w:pPr>
        <w:numPr>
          <w:ilvl w:val="0"/>
          <w:numId w:val="1001"/>
        </w:numPr>
        <w:pStyle w:val="Compact"/>
      </w:pPr>
      <w:r>
        <w:t xml:space="preserve">To gather data on the impact of the Banker service on financial inclusion in Jakarta.</w:t>
      </w:r>
    </w:p>
    <w:p>
      <w:pPr>
        <w:pStyle w:val="FirstParagraph"/>
      </w:pPr>
      <w:r>
        <w:t xml:space="preserve">3. Scope</w:t>
      </w:r>
    </w:p>
    <w:p>
      <w:pPr>
        <w:pStyle w:val="BodyText"/>
      </w:pPr>
      <w:r>
        <w:t xml:space="preserve">The scope of this experiment is limited to the Banker service model and its implementation in Indonesia Jakarta. The experiment will focus on the following aspects:</w:t>
      </w:r>
    </w:p>
    <w:p>
      <w:pPr>
        <w:numPr>
          <w:ilvl w:val="0"/>
          <w:numId w:val="1002"/>
        </w:numPr>
        <w:pStyle w:val="Compact"/>
      </w:pPr>
      <w:r>
        <w:t xml:space="preserve">Customer onboarding and account management.</w:t>
      </w:r>
    </w:p>
    <w:p>
      <w:pPr>
        <w:numPr>
          <w:ilvl w:val="0"/>
          <w:numId w:val="1002"/>
        </w:numPr>
        <w:pStyle w:val="Compact"/>
      </w:pPr>
      <w:r>
        <w:t xml:space="preserve">Transaction processing and security measures.</w:t>
      </w:r>
    </w:p>
    <w:p>
      <w:pPr>
        <w:numPr>
          <w:ilvl w:val="0"/>
          <w:numId w:val="1002"/>
        </w:numPr>
        <w:pStyle w:val="Compact"/>
      </w:pPr>
      <w:r>
        <w:t xml:space="preserve">Customer support and service quality.</w:t>
      </w:r>
    </w:p>
    <w:p>
      <w:pPr>
        <w:numPr>
          <w:ilvl w:val="0"/>
          <w:numId w:val="1002"/>
        </w:numPr>
        <w:pStyle w:val="Compact"/>
      </w:pPr>
      <w:r>
        <w:t xml:space="preserve">Integration with existing banking infrastructure in Jakarta.</w:t>
      </w:r>
    </w:p>
    <w:p>
      <w:pPr>
        <w:pStyle w:val="FirstParagraph"/>
      </w:pPr>
      <w:r>
        <w:t xml:space="preserve">4. Methodology</w:t>
      </w:r>
    </w:p>
    <w:p>
      <w:pPr>
        <w:pStyle w:val="BodyText"/>
      </w:pPr>
      <w:r>
        <w:t xml:space="preserve">The Experiment Protocol will be conducted using a mixed-methods approach, combining quantitative and qualitative data collection techniques. The methodology includes the following steps:</w:t>
      </w:r>
    </w:p>
    <w:p>
      <w:pPr>
        <w:numPr>
          <w:ilvl w:val="0"/>
          <w:numId w:val="1003"/>
        </w:numPr>
        <w:pStyle w:val="Compact"/>
      </w:pPr>
      <w:r>
        <w:rPr>
          <w:bCs/>
          <w:b/>
        </w:rPr>
        <w:t xml:space="preserve">Participant Selection:</w:t>
      </w:r>
      <w:r>
        <w:t xml:space="preserve"> </w:t>
      </w:r>
      <w:r>
        <w:t xml:space="preserve">A diverse group of participants from Indonesia Jakarta will be selected to ensure representation across different demographics.</w:t>
      </w:r>
    </w:p>
    <w:p>
      <w:pPr>
        <w:numPr>
          <w:ilvl w:val="0"/>
          <w:numId w:val="1003"/>
        </w:numPr>
        <w:pStyle w:val="Compact"/>
      </w:pPr>
      <w:r>
        <w:rPr>
          <w:bCs/>
          <w:b/>
        </w:rPr>
        <w:t xml:space="preserve">Training:</w:t>
      </w:r>
      <w:r>
        <w:t xml:space="preserve"> </w:t>
      </w:r>
      <w:r>
        <w:t xml:space="preserve">Participants will receive training on the Banker service model to ensure they are familiar with its features and functionalities.</w:t>
      </w:r>
    </w:p>
    <w:p>
      <w:pPr>
        <w:numPr>
          <w:ilvl w:val="0"/>
          <w:numId w:val="1003"/>
        </w:numPr>
        <w:pStyle w:val="Compact"/>
      </w:pPr>
      <w:r>
        <w:rPr>
          <w:bCs/>
          <w:b/>
        </w:rPr>
        <w:t xml:space="preserve">Implementation:</w:t>
      </w:r>
      <w:r>
        <w:t xml:space="preserve"> </w:t>
      </w:r>
      <w:r>
        <w:t xml:space="preserve">The Banker service will be implemented in a controlled environment within Jakarta, allowing for close monitoring and data collection.</w:t>
      </w:r>
    </w:p>
    <w:p>
      <w:pPr>
        <w:numPr>
          <w:ilvl w:val="0"/>
          <w:numId w:val="1003"/>
        </w:numPr>
        <w:pStyle w:val="Compact"/>
      </w:pPr>
      <w:r>
        <w:rPr>
          <w:bCs/>
          <w:b/>
        </w:rPr>
        <w:t xml:space="preserve">Data Collection:</w:t>
      </w:r>
      <w:r>
        <w:t xml:space="preserve"> </w:t>
      </w:r>
      <w:r>
        <w:t xml:space="preserve">Data will be collected through surveys, interviews, and system logs to evaluate the performance of the Banker service.</w:t>
      </w:r>
    </w:p>
    <w:p>
      <w:pPr>
        <w:numPr>
          <w:ilvl w:val="0"/>
          <w:numId w:val="1003"/>
        </w:numPr>
        <w:pStyle w:val="Compact"/>
      </w:pPr>
      <w:r>
        <w:rPr>
          <w:bCs/>
          <w:b/>
        </w:rPr>
        <w:t xml:space="preserve">Analysis:</w:t>
      </w:r>
      <w:r>
        <w:t xml:space="preserve"> </w:t>
      </w:r>
      <w:r>
        <w:t xml:space="preserve">The collected data will be analyzed to identify trends, patterns, and areas for improvement.</w:t>
      </w:r>
    </w:p>
    <w:p>
      <w:pPr>
        <w:pStyle w:val="FirstParagraph"/>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Finalize protocol, select participants, and prepare materials.</w:t>
            </w:r>
          </w:p>
        </w:tc>
      </w:tr>
      <w:tr>
        <w:tc>
          <w:tcPr/>
          <w:p>
            <w:pPr>
              <w:pStyle w:val="Compact"/>
              <w:jc w:val="left"/>
            </w:pPr>
            <w:r>
              <w:t xml:space="preserve">Training</w:t>
            </w:r>
          </w:p>
        </w:tc>
        <w:tc>
          <w:tcPr/>
          <w:p>
            <w:pPr>
              <w:pStyle w:val="Compact"/>
              <w:jc w:val="left"/>
            </w:pPr>
            <w:r>
              <w:t xml:space="preserve">1 week</w:t>
            </w:r>
          </w:p>
        </w:tc>
        <w:tc>
          <w:tcPr/>
          <w:p>
            <w:pPr>
              <w:pStyle w:val="Compact"/>
              <w:jc w:val="left"/>
            </w:pPr>
            <w:r>
              <w:t xml:space="preserve">Conduct training sessions for participants.</w:t>
            </w:r>
          </w:p>
        </w:tc>
      </w:tr>
      <w:tr>
        <w:tc>
          <w:tcPr/>
          <w:p>
            <w:pPr>
              <w:pStyle w:val="Compact"/>
              <w:jc w:val="left"/>
            </w:pPr>
            <w:r>
              <w:t xml:space="preserve">Implementation</w:t>
            </w:r>
          </w:p>
        </w:tc>
        <w:tc>
          <w:tcPr/>
          <w:p>
            <w:pPr>
              <w:pStyle w:val="Compact"/>
              <w:jc w:val="left"/>
            </w:pPr>
            <w:r>
              <w:t xml:space="preserve">4 weeks</w:t>
            </w:r>
          </w:p>
        </w:tc>
        <w:tc>
          <w:tcPr/>
          <w:p>
            <w:pPr>
              <w:pStyle w:val="Compact"/>
              <w:jc w:val="left"/>
            </w:pPr>
            <w:r>
              <w:t xml:space="preserve">Deploy the Banker service and monitor performance.</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Collect data through surveys, interviews, and system logs.</w:t>
            </w:r>
          </w:p>
        </w:tc>
      </w:tr>
      <w:tr>
        <w:tc>
          <w:tcPr/>
          <w:p>
            <w:pPr>
              <w:pStyle w:val="Compact"/>
              <w:jc w:val="left"/>
            </w:pPr>
            <w:r>
              <w:t xml:space="preserve">Analysis</w:t>
            </w:r>
          </w:p>
        </w:tc>
        <w:tc>
          <w:tcPr/>
          <w:p>
            <w:pPr>
              <w:pStyle w:val="Compact"/>
              <w:jc w:val="left"/>
            </w:pPr>
            <w:r>
              <w:t xml:space="preserve">2 weeks</w:t>
            </w:r>
          </w:p>
        </w:tc>
        <w:tc>
          <w:tcPr/>
          <w:p>
            <w:pPr>
              <w:pStyle w:val="Compact"/>
              <w:jc w:val="left"/>
            </w:pPr>
            <w:r>
              <w:t xml:space="preserve">Analyze data and prepare final report.</w:t>
            </w:r>
          </w:p>
        </w:tc>
      </w:tr>
    </w:tbl>
    <w:p>
      <w:pPr>
        <w:pStyle w:val="BodyText"/>
      </w:pPr>
      <w:r>
        <w:t xml:space="preserve">6. Ethical Considerations</w:t>
      </w:r>
    </w:p>
    <w:p>
      <w:pPr>
        <w:pStyle w:val="BodyText"/>
      </w:pPr>
      <w:r>
        <w:t xml:space="preserve">The Experiment Protocol adheres to ethical guidelines to ensure the well-being and privacy of participants. Key ethical considerations include:</w:t>
      </w:r>
    </w:p>
    <w:p>
      <w:pPr>
        <w:numPr>
          <w:ilvl w:val="0"/>
          <w:numId w:val="1004"/>
        </w:numPr>
        <w:pStyle w:val="Compact"/>
      </w:pPr>
      <w:r>
        <w:t xml:space="preserve">Informed consent from all participants.</w:t>
      </w:r>
    </w:p>
    <w:p>
      <w:pPr>
        <w:numPr>
          <w:ilvl w:val="0"/>
          <w:numId w:val="1004"/>
        </w:numPr>
        <w:pStyle w:val="Compact"/>
      </w:pPr>
      <w:r>
        <w:t xml:space="preserve">Confidentiality and data protection measures.</w:t>
      </w:r>
    </w:p>
    <w:p>
      <w:pPr>
        <w:numPr>
          <w:ilvl w:val="0"/>
          <w:numId w:val="1004"/>
        </w:numPr>
        <w:pStyle w:val="Compact"/>
      </w:pPr>
      <w:r>
        <w:t xml:space="preserve">Voluntary participation with the option to withdraw at any time.</w:t>
      </w:r>
    </w:p>
    <w:p>
      <w:pPr>
        <w:numPr>
          <w:ilvl w:val="0"/>
          <w:numId w:val="1004"/>
        </w:numPr>
        <w:pStyle w:val="Compact"/>
      </w:pPr>
      <w:r>
        <w:t xml:space="preserve">Compliance with local regulations in Indonesia Jakarta.</w:t>
      </w:r>
    </w:p>
    <w:p>
      <w:pPr>
        <w:pStyle w:val="FirstParagraph"/>
      </w:pPr>
      <w:r>
        <w:t xml:space="preserve">7. Expected Outcomes</w:t>
      </w:r>
    </w:p>
    <w:p>
      <w:pPr>
        <w:pStyle w:val="BodyText"/>
      </w:pPr>
      <w:r>
        <w:t xml:space="preserve">The expected outcomes of this Experiment Protocol are as follows:</w:t>
      </w:r>
    </w:p>
    <w:p>
      <w:pPr>
        <w:numPr>
          <w:ilvl w:val="0"/>
          <w:numId w:val="1005"/>
        </w:numPr>
        <w:pStyle w:val="Compact"/>
      </w:pPr>
      <w:r>
        <w:t xml:space="preserve">Improved understanding of the Banker service model's effectiveness in Indonesia Jakarta.</w:t>
      </w:r>
    </w:p>
    <w:p>
      <w:pPr>
        <w:numPr>
          <w:ilvl w:val="0"/>
          <w:numId w:val="1005"/>
        </w:numPr>
        <w:pStyle w:val="Compact"/>
      </w:pPr>
      <w:r>
        <w:t xml:space="preserve">Identification of best practices for implementing similar banking services in the region.</w:t>
      </w:r>
    </w:p>
    <w:p>
      <w:pPr>
        <w:numPr>
          <w:ilvl w:val="0"/>
          <w:numId w:val="1005"/>
        </w:numPr>
        <w:pStyle w:val="Compact"/>
      </w:pPr>
      <w:r>
        <w:t xml:space="preserve">Enhanced financial inclusion and customer satisfaction in Jakarta.</w:t>
      </w:r>
    </w:p>
    <w:p>
      <w:pPr>
        <w:numPr>
          <w:ilvl w:val="0"/>
          <w:numId w:val="1005"/>
        </w:numPr>
        <w:pStyle w:val="Compact"/>
      </w:pPr>
      <w:r>
        <w:t xml:space="preserve">Valuable insights for future iterations of the Banker project.</w:t>
      </w:r>
    </w:p>
    <w:p>
      <w:pPr>
        <w:pStyle w:val="FirstParagraph"/>
      </w:pPr>
      <w:r>
        <w:t xml:space="preserve">8. Conclusion</w:t>
      </w:r>
    </w:p>
    <w:p>
      <w:pPr>
        <w:pStyle w:val="BodyText"/>
      </w:pPr>
      <w:r>
        <w:t xml:space="preserve">This Experiment Protocol provides a comprehensive framework for evaluating the Banker service model in Indonesia Jakarta. By following this protocol, we aim to achieve meaningful insights and drive positive change in the banking sector of Jakarta. The findings from this experiment will contribute to the broader goal of improving financial services and inclusion in the region.</w:t>
      </w:r>
    </w:p>
    <w:p>
      <w:pPr>
        <w:pStyle w:val="BodyText"/>
      </w:pPr>
      <w:r>
        <w:t xml:space="preserve">For further information, please contact the Experiment Protocol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Indonesia Jakarta</dc:title>
  <dc:creator/>
  <dc:language>en</dc:language>
  <cp:keywords/>
  <dcterms:created xsi:type="dcterms:W3CDTF">2026-10-10T01:06:36Z</dcterms:created>
  <dcterms:modified xsi:type="dcterms:W3CDTF">2026-10-10T01:06:36Z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