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Role</w:t>
      </w:r>
      <w:r>
        <w:t xml:space="preserve"> </w:t>
      </w:r>
      <w:r>
        <w:t xml:space="preserve">Simulation</w:t>
      </w:r>
      <w:r>
        <w:t xml:space="preserve"> </w:t>
      </w:r>
      <w:r>
        <w:t xml:space="preserve">in</w:t>
      </w:r>
      <w:r>
        <w:t xml:space="preserve"> </w:t>
      </w:r>
      <w:r>
        <w:t xml:space="preserve">Iraq</w:t>
      </w:r>
      <w:r>
        <w:t xml:space="preserve"> </w:t>
      </w:r>
      <w:r>
        <w:t xml:space="preserve">Baghdad</w:t>
      </w:r>
    </w:p>
    <w:bookmarkStart w:id="30" w:name="X445c3e9974769ff15557fcff78d762c3f64f576"/>
    <w:p>
      <w:pPr>
        <w:pStyle w:val="Heading1"/>
      </w:pPr>
      <w:r>
        <w:t xml:space="preserve">Experiment Protocol: Banker Role Simulation in Iraq Baghdad</w:t>
      </w:r>
    </w:p>
    <w:bookmarkStart w:id="20" w:name="introduction-and-objective"/>
    <w:p>
      <w:pPr>
        <w:pStyle w:val="Heading2"/>
      </w:pPr>
      <w:r>
        <w:t xml:space="preserve">1. Introduction and Objective</w:t>
      </w:r>
    </w:p>
    <w:p>
      <w:pPr>
        <w:pStyle w:val="FirstParagraph"/>
      </w:pPr>
      <w:r>
        <w:t xml:space="preserve">This Experiment Protocol outlines the methodology for conducting a controlled simulation of a Banker role within the financial ecosystem of Iraq Baghdad. The primary objective is to evaluate the operational efficiency, risk management capabilities, and customer service standards of banking professionals in a simulated environment that mirrors the unique economic conditions of Baghdad.</w:t>
      </w:r>
    </w:p>
    <w:p>
      <w:pPr>
        <w:pStyle w:val="BodyText"/>
      </w:pPr>
      <w:r>
        <w:t xml:space="preserve">The study aims to identify gaps in current banking practices, assess the impact of regulatory frameworks specific to Iraq, and propose improvements for financial institutions operating in the region. By focusing on the Banker as the central figure, this protocol seeks to enhance the overall quality of financial services provided to individuals and businesses in Iraq Baghdad.</w:t>
      </w:r>
    </w:p>
    <w:bookmarkEnd w:id="20"/>
    <w:bookmarkStart w:id="21" w:name="scope-and-context"/>
    <w:p>
      <w:pPr>
        <w:pStyle w:val="Heading2"/>
      </w:pPr>
      <w:r>
        <w:t xml:space="preserve">2. Scope and Context</w:t>
      </w:r>
    </w:p>
    <w:p>
      <w:pPr>
        <w:pStyle w:val="FirstParagraph"/>
      </w:pPr>
      <w:r>
        <w:t xml:space="preserve">The experiment will be conducted in Iraq Baghdad, a city characterized by a dynamic and evolving financial landscape. The simulation will take into account local economic factors, including currency fluctuations, regulatory requirements set by the Central Bank of Iraq, and cultural nuances that influence banking interactions.</w:t>
      </w:r>
    </w:p>
    <w:p>
      <w:pPr>
        <w:pStyle w:val="BodyText"/>
      </w:pPr>
      <w:r>
        <w:t xml:space="preserve">The scope of this Experiment Protocol includes:</w:t>
      </w:r>
    </w:p>
    <w:p>
      <w:pPr>
        <w:numPr>
          <w:ilvl w:val="0"/>
          <w:numId w:val="1001"/>
        </w:numPr>
        <w:pStyle w:val="Compact"/>
      </w:pPr>
      <w:r>
        <w:t xml:space="preserve">Simulating typical banking transactions such as account openings, loan approvals, and foreign exchange operations.</w:t>
      </w:r>
    </w:p>
    <w:p>
      <w:pPr>
        <w:numPr>
          <w:ilvl w:val="0"/>
          <w:numId w:val="1001"/>
        </w:numPr>
        <w:pStyle w:val="Compact"/>
      </w:pPr>
      <w:r>
        <w:t xml:space="preserve">Evaluating the Banker's ability to handle high-pressure situations, such as liquidity crises or fraud detection.</w:t>
      </w:r>
    </w:p>
    <w:p>
      <w:pPr>
        <w:numPr>
          <w:ilvl w:val="0"/>
          <w:numId w:val="1001"/>
        </w:numPr>
        <w:pStyle w:val="Compact"/>
      </w:pPr>
      <w:r>
        <w:t xml:space="preserve">Assessing compliance with local and international banking regulations.</w:t>
      </w:r>
    </w:p>
    <w:p>
      <w:pPr>
        <w:numPr>
          <w:ilvl w:val="0"/>
          <w:numId w:val="1001"/>
        </w:numPr>
        <w:pStyle w:val="Compact"/>
      </w:pPr>
      <w:r>
        <w:t xml:space="preserve">Analyzing customer satisfaction levels based on the Banker's performance.</w:t>
      </w:r>
    </w:p>
    <w:bookmarkEnd w:id="21"/>
    <w:bookmarkStart w:id="25" w:name="methodology"/>
    <w:p>
      <w:pPr>
        <w:pStyle w:val="Heading2"/>
      </w:pPr>
      <w:r>
        <w:t xml:space="preserve">3. Methodology</w:t>
      </w:r>
    </w:p>
    <w:bookmarkStart w:id="22" w:name="participants"/>
    <w:p>
      <w:pPr>
        <w:pStyle w:val="Heading3"/>
      </w:pPr>
      <w:r>
        <w:t xml:space="preserve">3.1 Participants</w:t>
      </w:r>
    </w:p>
    <w:p>
      <w:pPr>
        <w:pStyle w:val="FirstParagraph"/>
      </w:pPr>
      <w:r>
        <w:t xml:space="preserve">The experiment will involve a diverse group of participants, including:</w:t>
      </w:r>
    </w:p>
    <w:p>
      <w:pPr>
        <w:numPr>
          <w:ilvl w:val="0"/>
          <w:numId w:val="1002"/>
        </w:numPr>
        <w:pStyle w:val="Compact"/>
      </w:pPr>
      <w:r>
        <w:rPr>
          <w:bCs/>
          <w:b/>
        </w:rPr>
        <w:t xml:space="preserve">Bankers:</w:t>
      </w:r>
      <w:r>
        <w:t xml:space="preserve"> </w:t>
      </w:r>
      <w:r>
        <w:t xml:space="preserve">Licensed professionals with at least two years of experience in banking operations in Iraq Baghdad.</w:t>
      </w:r>
    </w:p>
    <w:p>
      <w:pPr>
        <w:numPr>
          <w:ilvl w:val="0"/>
          <w:numId w:val="1002"/>
        </w:numPr>
        <w:pStyle w:val="Compact"/>
      </w:pPr>
      <w:r>
        <w:rPr>
          <w:bCs/>
          <w:b/>
        </w:rPr>
        <w:t xml:space="preserve">Customers:</w:t>
      </w:r>
      <w:r>
        <w:t xml:space="preserve"> </w:t>
      </w:r>
      <w:r>
        <w:t xml:space="preserve">Individuals and business representatives who will interact with the Bankers in simulated scenarios.</w:t>
      </w:r>
    </w:p>
    <w:p>
      <w:pPr>
        <w:numPr>
          <w:ilvl w:val="0"/>
          <w:numId w:val="1002"/>
        </w:numPr>
        <w:pStyle w:val="Compact"/>
      </w:pPr>
      <w:r>
        <w:rPr>
          <w:bCs/>
          <w:b/>
        </w:rPr>
        <w:t xml:space="preserve">Observers:</w:t>
      </w:r>
      <w:r>
        <w:t xml:space="preserve"> </w:t>
      </w:r>
      <w:r>
        <w:t xml:space="preserve">Independent evaluators tasked with monitoring and recording the Bankers' performance.</w:t>
      </w:r>
    </w:p>
    <w:bookmarkEnd w:id="22"/>
    <w:bookmarkStart w:id="23" w:name="simulation-environment"/>
    <w:p>
      <w:pPr>
        <w:pStyle w:val="Heading3"/>
      </w:pPr>
      <w:r>
        <w:t xml:space="preserve">3.2 Simulation Environment</w:t>
      </w:r>
    </w:p>
    <w:p>
      <w:pPr>
        <w:pStyle w:val="FirstParagraph"/>
      </w:pPr>
      <w:r>
        <w:t xml:space="preserve">The simulation will be conducted in a controlled environment designed to replicate a typical bank branch in Iraq Baghdad. This includes:</w:t>
      </w:r>
    </w:p>
    <w:p>
      <w:pPr>
        <w:numPr>
          <w:ilvl w:val="0"/>
          <w:numId w:val="1003"/>
        </w:numPr>
        <w:pStyle w:val="Compact"/>
      </w:pPr>
      <w:r>
        <w:t xml:space="preserve">Physical layout resembling a real bank, with counters, private offices, and waiting areas.</w:t>
      </w:r>
    </w:p>
    <w:p>
      <w:pPr>
        <w:numPr>
          <w:ilvl w:val="0"/>
          <w:numId w:val="1003"/>
        </w:numPr>
        <w:pStyle w:val="Compact"/>
      </w:pPr>
      <w:r>
        <w:t xml:space="preserve">Use of realistic banking software and tools commonly employed in Iraqi financial institutions.</w:t>
      </w:r>
    </w:p>
    <w:p>
      <w:pPr>
        <w:numPr>
          <w:ilvl w:val="0"/>
          <w:numId w:val="1003"/>
        </w:numPr>
        <w:pStyle w:val="Compact"/>
      </w:pPr>
      <w:r>
        <w:t xml:space="preserve">Incorporation of local language (Arabic) and cultural practices to ensure authenticity.</w:t>
      </w:r>
    </w:p>
    <w:bookmarkEnd w:id="23"/>
    <w:bookmarkStart w:id="24" w:name="scenarios"/>
    <w:p>
      <w:pPr>
        <w:pStyle w:val="Heading3"/>
      </w:pPr>
      <w:r>
        <w:t xml:space="preserve">3.3 Scenarios</w:t>
      </w:r>
    </w:p>
    <w:p>
      <w:pPr>
        <w:pStyle w:val="FirstParagraph"/>
      </w:pPr>
      <w:r>
        <w:t xml:space="preserve">The following scenarios will be used to test the Banker's competencies: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Scenario</w:t>
            </w:r>
          </w:p>
        </w:tc>
        <w:tc>
          <w:tcPr/>
          <w:p>
            <w:pPr>
              <w:pStyle w:val="Compact"/>
              <w:jc w:val="left"/>
            </w:pPr>
            <w:r>
              <w:t xml:space="preserve">Description</w:t>
            </w:r>
          </w:p>
        </w:tc>
        <w:tc>
          <w:tcPr/>
          <w:p>
            <w:pPr>
              <w:pStyle w:val="Compact"/>
              <w:jc w:val="left"/>
            </w:pPr>
            <w:r>
              <w:t xml:space="preserve">Key Metrics</w:t>
            </w:r>
          </w:p>
        </w:tc>
      </w:tr>
      <w:tr>
        <w:tc>
          <w:tcPr/>
          <w:p>
            <w:pPr>
              <w:pStyle w:val="Compact"/>
              <w:jc w:val="left"/>
            </w:pPr>
            <w:r>
              <w:t xml:space="preserve">Account Opening</w:t>
            </w:r>
          </w:p>
        </w:tc>
        <w:tc>
          <w:tcPr/>
          <w:p>
            <w:pPr>
              <w:pStyle w:val="Compact"/>
              <w:jc w:val="left"/>
            </w:pPr>
            <w:r>
              <w:t xml:space="preserve">A customer requests to open a new savings account.</w:t>
            </w:r>
          </w:p>
        </w:tc>
        <w:tc>
          <w:tcPr/>
          <w:p>
            <w:pPr>
              <w:pStyle w:val="Compact"/>
              <w:jc w:val="left"/>
            </w:pPr>
            <w:r>
              <w:t xml:space="preserve">Accuracy, speed, compliance with KYC regulations.</w:t>
            </w:r>
          </w:p>
        </w:tc>
      </w:tr>
      <w:tr>
        <w:tc>
          <w:tcPr/>
          <w:p>
            <w:pPr>
              <w:pStyle w:val="Compact"/>
              <w:jc w:val="left"/>
            </w:pPr>
            <w:r>
              <w:t xml:space="preserve">Loan Approval</w:t>
            </w:r>
          </w:p>
        </w:tc>
        <w:tc>
          <w:tcPr/>
          <w:p>
            <w:pPr>
              <w:pStyle w:val="Compact"/>
              <w:jc w:val="left"/>
            </w:pPr>
            <w:r>
              <w:t xml:space="preserve">A business owner applies for a small business loan.</w:t>
            </w:r>
          </w:p>
        </w:tc>
        <w:tc>
          <w:tcPr/>
          <w:p>
            <w:pPr>
              <w:pStyle w:val="Compact"/>
              <w:jc w:val="left"/>
            </w:pPr>
            <w:r>
              <w:t xml:space="preserve">Risk assessment, decision-making, communication skills.</w:t>
            </w:r>
          </w:p>
        </w:tc>
      </w:tr>
      <w:tr>
        <w:tc>
          <w:tcPr/>
          <w:p>
            <w:pPr>
              <w:pStyle w:val="Compact"/>
              <w:jc w:val="left"/>
            </w:pPr>
            <w:r>
              <w:t xml:space="preserve">Fraud Detection</w:t>
            </w:r>
          </w:p>
        </w:tc>
        <w:tc>
          <w:tcPr/>
          <w:p>
            <w:pPr>
              <w:pStyle w:val="Compact"/>
              <w:jc w:val="left"/>
            </w:pPr>
            <w:r>
              <w:t xml:space="preserve">A suspicious transaction is flagged during processing.</w:t>
            </w:r>
          </w:p>
        </w:tc>
        <w:tc>
          <w:tcPr/>
          <w:p>
            <w:pPr>
              <w:pStyle w:val="Compact"/>
              <w:jc w:val="left"/>
            </w:pPr>
            <w:r>
              <w:t xml:space="preserve">Attention to detail, adherence to protocols, customer handling.</w:t>
            </w:r>
          </w:p>
        </w:tc>
      </w:tr>
      <w:tr>
        <w:tc>
          <w:tcPr/>
          <w:p>
            <w:pPr>
              <w:pStyle w:val="Compact"/>
              <w:jc w:val="left"/>
            </w:pPr>
            <w:r>
              <w:t xml:space="preserve">Foreign Exchange</w:t>
            </w:r>
          </w:p>
        </w:tc>
        <w:tc>
          <w:tcPr/>
          <w:p>
            <w:pPr>
              <w:pStyle w:val="Compact"/>
              <w:jc w:val="left"/>
            </w:pPr>
            <w:r>
              <w:t xml:space="preserve">A customer requests to convert Iraqi Dinar to US Dollars.</w:t>
            </w:r>
          </w:p>
        </w:tc>
        <w:tc>
          <w:tcPr/>
          <w:p>
            <w:pPr>
              <w:pStyle w:val="Compact"/>
              <w:jc w:val="left"/>
            </w:pPr>
            <w:r>
              <w:t xml:space="preserve">Accuracy, knowledge of exchange rates, regulatory compliance.</w:t>
            </w:r>
          </w:p>
        </w:tc>
      </w:tr>
    </w:tbl>
    <w:bookmarkEnd w:id="24"/>
    <w:bookmarkEnd w:id="25"/>
    <w:bookmarkStart w:id="26" w:name="data-collection-and-analysis"/>
    <w:p>
      <w:pPr>
        <w:pStyle w:val="Heading2"/>
      </w:pPr>
      <w:r>
        <w:t xml:space="preserve">4. Data Collection and Analysis</w:t>
      </w:r>
    </w:p>
    <w:p>
      <w:pPr>
        <w:pStyle w:val="FirstParagraph"/>
      </w:pPr>
      <w:r>
        <w:t xml:space="preserve">Data will be collected through multiple methods, including:</w:t>
      </w:r>
    </w:p>
    <w:p>
      <w:pPr>
        <w:numPr>
          <w:ilvl w:val="0"/>
          <w:numId w:val="1004"/>
        </w:numPr>
        <w:pStyle w:val="Compact"/>
      </w:pPr>
      <w:r>
        <w:t xml:space="preserve">Direct observation by trained evaluators using standardized scoring rubrics.</w:t>
      </w:r>
    </w:p>
    <w:p>
      <w:pPr>
        <w:numPr>
          <w:ilvl w:val="0"/>
          <w:numId w:val="1004"/>
        </w:numPr>
        <w:pStyle w:val="Compact"/>
      </w:pPr>
      <w:r>
        <w:t xml:space="preserve">Customer feedback surveys administered after each interaction.</w:t>
      </w:r>
    </w:p>
    <w:p>
      <w:pPr>
        <w:numPr>
          <w:ilvl w:val="0"/>
          <w:numId w:val="1004"/>
        </w:numPr>
        <w:pStyle w:val="Compact"/>
      </w:pPr>
      <w:r>
        <w:t xml:space="preserve">Review of transaction records and compliance reports generated during the simulation.</w:t>
      </w:r>
    </w:p>
    <w:p>
      <w:pPr>
        <w:pStyle w:val="FirstParagraph"/>
      </w:pPr>
      <w:r>
        <w:t xml:space="preserve">The collected data will be analyzed to identify trends, strengths, and areas for improvement in the Banker's performance. Statistical methods will be employed to ensure the reliability and validity of the findings.</w:t>
      </w:r>
    </w:p>
    <w:bookmarkEnd w:id="26"/>
    <w:bookmarkStart w:id="27" w:name="ethical-considerations"/>
    <w:p>
      <w:pPr>
        <w:pStyle w:val="Heading2"/>
      </w:pPr>
      <w:r>
        <w:t xml:space="preserve">5. Ethical Considerations</w:t>
      </w:r>
    </w:p>
    <w:p>
      <w:pPr>
        <w:pStyle w:val="FirstParagraph"/>
      </w:pPr>
      <w:r>
        <w:t xml:space="preserve">This Experiment Protocol adheres to ethical guidelines to ensure the well-being and rights of all participants. Key considerations include:</w:t>
      </w:r>
    </w:p>
    <w:p>
      <w:pPr>
        <w:numPr>
          <w:ilvl w:val="0"/>
          <w:numId w:val="1005"/>
        </w:numPr>
        <w:pStyle w:val="Compact"/>
      </w:pPr>
      <w:r>
        <w:t xml:space="preserve">Informed consent: All participants will be fully briefed on the purpose and procedures of the experiment before participation.</w:t>
      </w:r>
    </w:p>
    <w:p>
      <w:pPr>
        <w:numPr>
          <w:ilvl w:val="0"/>
          <w:numId w:val="1005"/>
        </w:numPr>
        <w:pStyle w:val="Compact"/>
      </w:pPr>
      <w:r>
        <w:t xml:space="preserve">Confidentiality: Personal and financial information used in the simulation will be anonymized and securely stored.</w:t>
      </w:r>
    </w:p>
    <w:p>
      <w:pPr>
        <w:numPr>
          <w:ilvl w:val="0"/>
          <w:numId w:val="1005"/>
        </w:numPr>
        <w:pStyle w:val="Compact"/>
      </w:pPr>
      <w:r>
        <w:t xml:space="preserve">Non-discrimination: The experiment will be conducted without bias based on gender, ethnicity, or socioeconomic status.</w:t>
      </w:r>
    </w:p>
    <w:bookmarkEnd w:id="27"/>
    <w:bookmarkStart w:id="28" w:name="expected-outcomes"/>
    <w:p>
      <w:pPr>
        <w:pStyle w:val="Heading2"/>
      </w:pPr>
      <w:r>
        <w:t xml:space="preserve">6. Expected Outcomes</w:t>
      </w:r>
    </w:p>
    <w:p>
      <w:pPr>
        <w:pStyle w:val="FirstParagraph"/>
      </w:pPr>
      <w:r>
        <w:t xml:space="preserve">The anticipated outcomes of this Experiment Protocol include:</w:t>
      </w:r>
    </w:p>
    <w:p>
      <w:pPr>
        <w:numPr>
          <w:ilvl w:val="0"/>
          <w:numId w:val="1006"/>
        </w:numPr>
        <w:pStyle w:val="Compact"/>
      </w:pPr>
      <w:r>
        <w:t xml:space="preserve">Identification of best practices for Bankers operating in Iraq Baghdad.</w:t>
      </w:r>
    </w:p>
    <w:p>
      <w:pPr>
        <w:numPr>
          <w:ilvl w:val="0"/>
          <w:numId w:val="1006"/>
        </w:numPr>
        <w:pStyle w:val="Compact"/>
      </w:pPr>
      <w:r>
        <w:t xml:space="preserve">Recommendations for enhancing training programs for banking professionals.</w:t>
      </w:r>
    </w:p>
    <w:p>
      <w:pPr>
        <w:numPr>
          <w:ilvl w:val="0"/>
          <w:numId w:val="1006"/>
        </w:numPr>
        <w:pStyle w:val="Compact"/>
      </w:pPr>
      <w:r>
        <w:t xml:space="preserve">Insights into the effectiveness of current regulatory frameworks in the Iraqi banking sector.</w:t>
      </w:r>
    </w:p>
    <w:p>
      <w:pPr>
        <w:numPr>
          <w:ilvl w:val="0"/>
          <w:numId w:val="1006"/>
        </w:numPr>
        <w:pStyle w:val="Compact"/>
      </w:pPr>
      <w:r>
        <w:t xml:space="preserve">Improved customer satisfaction and trust in financial institutions.</w:t>
      </w:r>
    </w:p>
    <w:bookmarkEnd w:id="28"/>
    <w:bookmarkStart w:id="29" w:name="conclusion"/>
    <w:p>
      <w:pPr>
        <w:pStyle w:val="Heading2"/>
      </w:pPr>
      <w:r>
        <w:t xml:space="preserve">7. Conclusion</w:t>
      </w:r>
    </w:p>
    <w:p>
      <w:pPr>
        <w:pStyle w:val="FirstParagraph"/>
      </w:pPr>
      <w:r>
        <w:t xml:space="preserve">This Experiment Protocol provides a structured approach to evaluating the performance of Bankers in the context of Iraq Baghdad. By simulating real-world scenarios and analyzing the results, this study aims to contribute to the development of a more robust and efficient banking system in the region. The findings will be shared with relevant stakeholders, including financial institutions, regulatory bodies, and academic researchers, to foster continuous improvement in the banking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Role Simulation in Iraq Baghdad</dc:title>
  <dc:creator/>
  <dc:language>en</dc:language>
  <cp:keywords/>
  <dcterms:created xsi:type="dcterms:W3CDTF">2026-10-10T04:04:43Z</dcterms:created>
  <dcterms:modified xsi:type="dcterms:W3CDTF">2026-10-10T04:04:43Z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