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Myanmar</w:t>
      </w:r>
      <w:r>
        <w:t xml:space="preserve"> </w:t>
      </w:r>
      <w:r>
        <w:t xml:space="preserve">Yangon</w:t>
      </w:r>
    </w:p>
    <w:bookmarkStart w:id="34" w:name="X6daa90fc26d0d53ed93cbe897442d0378ce0b1d"/>
    <w:p>
      <w:pPr>
        <w:pStyle w:val="Heading1"/>
      </w:pPr>
      <w:r>
        <w:t xml:space="preserve">Experiment Protocol: Banker Role Simulation in Myanmar Yangon</w:t>
      </w:r>
    </w:p>
    <w:bookmarkStart w:id="20" w:name="introduction-and-context"/>
    <w:p>
      <w:pPr>
        <w:pStyle w:val="Heading2"/>
      </w:pPr>
      <w:r>
        <w:t xml:space="preserve">1. Introduction and Context</w:t>
      </w:r>
    </w:p>
    <w:p>
      <w:pPr>
        <w:pStyle w:val="FirstParagraph"/>
      </w:pPr>
      <w:r>
        <w:t xml:space="preserve">This document outlines the comprehensive Experiment Protocol for a controlled simulation study focusing on the role of the Banker within the financial ecosystem of Myanmar Yangon. The study aims to evaluate decision-making processes, risk assessment capabilities, and customer interaction strategies employed by banking professionals in a rapidly evolving economic environment.</w:t>
      </w:r>
    </w:p>
    <w:p>
      <w:pPr>
        <w:pStyle w:val="BodyText"/>
      </w:pPr>
      <w:r>
        <w:t xml:space="preserve">Myanmar Yangon serves as the primary financial hub of the country, characterized by a unique blend of traditional banking practices and modern digital transformation. The Banker, as a central figure in this ecosystem, plays a critical role in facilitating economic growth, managing liquidity, and ensuring regulatory compliance. This experiment seeks to understand how Bankers in this specific geographic and cultural context navigate complex financial scenarios.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efficiency of Bankers in Myanmar Yangon when processing high-volume transaction requests under simulated market volatility.</w:t>
      </w:r>
    </w:p>
    <w:p>
      <w:pPr>
        <w:numPr>
          <w:ilvl w:val="0"/>
          <w:numId w:val="1001"/>
        </w:numPr>
        <w:pStyle w:val="Compact"/>
      </w:pPr>
      <w:r>
        <w:t xml:space="preserve">To evaluate the adherence to local banking regulations and international compliance standards by participating Bankers.</w:t>
      </w:r>
    </w:p>
    <w:p>
      <w:pPr>
        <w:numPr>
          <w:ilvl w:val="0"/>
          <w:numId w:val="1001"/>
        </w:numPr>
        <w:pStyle w:val="Compact"/>
      </w:pPr>
      <w:r>
        <w:t xml:space="preserve">To analyze the impact of cultural nuances in Myanmar Yangon on customer trust and financial advisory outcomes.</w:t>
      </w:r>
    </w:p>
    <w:p>
      <w:pPr>
        <w:numPr>
          <w:ilvl w:val="0"/>
          <w:numId w:val="1001"/>
        </w:numPr>
        <w:pStyle w:val="Compact"/>
      </w:pPr>
      <w:r>
        <w:t xml:space="preserve">To identify gaps in current training programs for Bankers regarding digital banking tools and fraud detection.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utilize a randomized controlled trial (RCT) design. Participants will be recruited from major commercial banks operating in Myanmar Yangon. The simulation will be conducted in a controlled laboratory environment that mimics the actual banking floor, complete with real-time data feeds and simulated customer interactions.</w:t>
      </w:r>
    </w:p>
    <w:bookmarkEnd w:id="22"/>
    <w:bookmarkStart w:id="23" w:name="participants"/>
    <w:p>
      <w:pPr>
        <w:pStyle w:val="Heading3"/>
      </w:pPr>
      <w:r>
        <w:t xml:space="preserve">3.2 Participants</w:t>
      </w:r>
    </w:p>
    <w:p>
      <w:pPr>
        <w:pStyle w:val="FirstParagraph"/>
      </w:pPr>
      <w:r>
        <w:t xml:space="preserve">A total of 120 Bankers will be selected, stratified by experience level (Junior, Mid-level, Senior) and department (Retail, Corporate, Investment). All participants must have a minimum of one year of experience working within the Myanmar Yangon financial sector.</w:t>
      </w:r>
    </w:p>
    <w:bookmarkEnd w:id="23"/>
    <w:bookmarkStart w:id="24" w:name="simulation-scenarios"/>
    <w:p>
      <w:pPr>
        <w:pStyle w:val="Heading3"/>
      </w:pPr>
      <w:r>
        <w:t xml:space="preserve">3.3 Simulation Scenarios</w:t>
      </w:r>
    </w:p>
    <w:p>
      <w:pPr>
        <w:pStyle w:val="FirstParagraph"/>
      </w:pPr>
      <w:r>
        <w:t xml:space="preserve">The Bankers will be exposed to three distinct scenarios designed to reflect real-world challenges in Myanmar Yangon:</w:t>
      </w:r>
    </w:p>
    <w:p>
      <w:pPr>
        <w:numPr>
          <w:ilvl w:val="0"/>
          <w:numId w:val="1002"/>
        </w:numPr>
        <w:pStyle w:val="Compact"/>
      </w:pPr>
      <w:r>
        <w:rPr>
          <w:bCs/>
          <w:b/>
        </w:rPr>
        <w:t xml:space="preserve">Scenario A: Liquidity Crisis Simulation.</w:t>
      </w:r>
      <w:r>
        <w:t xml:space="preserve"> </w:t>
      </w:r>
      <w:r>
        <w:t xml:space="preserve">Participants must manage a sudden withdrawal surge while maintaining operational stability.</w:t>
      </w:r>
    </w:p>
    <w:p>
      <w:pPr>
        <w:numPr>
          <w:ilvl w:val="0"/>
          <w:numId w:val="1002"/>
        </w:numPr>
        <w:pStyle w:val="Compact"/>
      </w:pPr>
      <w:r>
        <w:rPr>
          <w:bCs/>
          <w:b/>
        </w:rPr>
        <w:t xml:space="preserve">Scenario B: Cross-Border Transaction Compliance.</w:t>
      </w:r>
      <w:r>
        <w:t xml:space="preserve"> </w:t>
      </w:r>
      <w:r>
        <w:t xml:space="preserve">Bankers must process international transfers while adhering to strict anti-money laundering (AML) protocols relevant to Myanmar.</w:t>
      </w:r>
    </w:p>
    <w:p>
      <w:pPr>
        <w:numPr>
          <w:ilvl w:val="0"/>
          <w:numId w:val="1002"/>
        </w:numPr>
        <w:pStyle w:val="Compact"/>
      </w:pPr>
      <w:r>
        <w:rPr>
          <w:bCs/>
          <w:b/>
        </w:rPr>
        <w:t xml:space="preserve">Scenario C: Digital Adoption Challenge.</w:t>
      </w:r>
      <w:r>
        <w:t xml:space="preserve"> </w:t>
      </w:r>
      <w:r>
        <w:t xml:space="preserve">Participants must assist simulated customers in transitioning from cash-based transactions to mobile banking platforms.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Prior to the simulation, all Bankers will undergo a briefing session to ensure informed consent and understanding of the protocol. Baseline assessments will be conducted to measure current knowledge levels regarding banking regulations in Myanmar Yangon.</w:t>
      </w:r>
    </w:p>
    <w:bookmarkEnd w:id="26"/>
    <w:bookmarkStart w:id="27" w:name="execution-phase"/>
    <w:p>
      <w:pPr>
        <w:pStyle w:val="Heading3"/>
      </w:pPr>
      <w:r>
        <w:t xml:space="preserve">4.2 Execution Phase</w:t>
      </w:r>
    </w:p>
    <w:p>
      <w:pPr>
        <w:pStyle w:val="FirstParagraph"/>
      </w:pPr>
      <w:r>
        <w:t xml:space="preserve">During the simulation, each Banker will be monitored via audio and video recording. Key performance indicators (KPIs) such as transaction accuracy, response time, and customer satisfaction scores will be tracked in real-time. The environment will simulate the noise, pressure, and multitasking demands typical of a busy branch in Myanmar Yangon.</w:t>
      </w:r>
    </w:p>
    <w:bookmarkEnd w:id="27"/>
    <w:bookmarkStart w:id="28" w:name="post-experiment-phase"/>
    <w:p>
      <w:pPr>
        <w:pStyle w:val="Heading3"/>
      </w:pPr>
      <w:r>
        <w:t xml:space="preserve">4.3 Post-Experiment Phase</w:t>
      </w:r>
    </w:p>
    <w:p>
      <w:pPr>
        <w:pStyle w:val="FirstParagraph"/>
      </w:pPr>
      <w:r>
        <w:t xml:space="preserve">Following the simulation, participants will complete a structured debriefing questionnaire. This will gather qualitative data on their decision-making rationale and perceived stress levels.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multiple channels, including system logs, observational checklists, and participant surveys. Quantitative data will be analyzed using statistical software to identify significant differences in performance across experience levels and scenarios. Qualitative data will be subjected to thematic analysis to uncover underlying patterns in behavior and decision-making.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Type</w:t>
            </w:r>
          </w:p>
        </w:tc>
        <w:tc>
          <w:tcPr/>
          <w:p>
            <w:pPr>
              <w:pStyle w:val="Compact"/>
              <w:jc w:val="left"/>
            </w:pPr>
            <w:r>
              <w:t xml:space="preserve">Source</w:t>
            </w:r>
          </w:p>
        </w:tc>
        <w:tc>
          <w:tcPr/>
          <w:p>
            <w:pPr>
              <w:pStyle w:val="Compact"/>
              <w:jc w:val="left"/>
            </w:pPr>
            <w:r>
              <w:t xml:space="preserve">Analysis Method</w:t>
            </w:r>
          </w:p>
        </w:tc>
      </w:tr>
      <w:tr>
        <w:tc>
          <w:tcPr/>
          <w:p>
            <w:pPr>
              <w:pStyle w:val="Compact"/>
              <w:jc w:val="left"/>
            </w:pPr>
            <w:r>
              <w:t xml:space="preserve">Transaction Accuracy</w:t>
            </w:r>
          </w:p>
        </w:tc>
        <w:tc>
          <w:tcPr/>
          <w:p>
            <w:pPr>
              <w:pStyle w:val="Compact"/>
              <w:jc w:val="left"/>
            </w:pPr>
            <w:r>
              <w:t xml:space="preserve">System Logs</w:t>
            </w:r>
          </w:p>
        </w:tc>
        <w:tc>
          <w:tcPr/>
          <w:p>
            <w:pPr>
              <w:pStyle w:val="Compact"/>
              <w:jc w:val="left"/>
            </w:pPr>
            <w:r>
              <w:t xml:space="preserve">Descriptive Statistics</w:t>
            </w:r>
          </w:p>
        </w:tc>
      </w:tr>
      <w:tr>
        <w:tc>
          <w:tcPr/>
          <w:p>
            <w:pPr>
              <w:pStyle w:val="Compact"/>
              <w:jc w:val="left"/>
            </w:pPr>
            <w:r>
              <w:t xml:space="preserve">Customer Satisfaction</w:t>
            </w:r>
          </w:p>
        </w:tc>
        <w:tc>
          <w:tcPr/>
          <w:p>
            <w:pPr>
              <w:pStyle w:val="Compact"/>
              <w:jc w:val="left"/>
            </w:pPr>
            <w:r>
              <w:t xml:space="preserve">Simulated Customer Feedback</w:t>
            </w:r>
          </w:p>
        </w:tc>
        <w:tc>
          <w:tcPr/>
          <w:p>
            <w:pPr>
              <w:pStyle w:val="Compact"/>
              <w:jc w:val="left"/>
            </w:pPr>
            <w:r>
              <w:t xml:space="preserve">Mean Score Comparison</w:t>
            </w:r>
          </w:p>
        </w:tc>
      </w:tr>
      <w:tr>
        <w:tc>
          <w:tcPr/>
          <w:p>
            <w:pPr>
              <w:pStyle w:val="Compact"/>
              <w:jc w:val="left"/>
            </w:pPr>
            <w:r>
              <w:t xml:space="preserve">Decision Rationale</w:t>
            </w:r>
          </w:p>
        </w:tc>
        <w:tc>
          <w:tcPr/>
          <w:p>
            <w:pPr>
              <w:pStyle w:val="Compact"/>
              <w:jc w:val="left"/>
            </w:pPr>
            <w:r>
              <w:t xml:space="preserve">Post-Experiment Interviews</w:t>
            </w:r>
          </w:p>
        </w:tc>
        <w:tc>
          <w:tcPr/>
          <w:p>
            <w:pPr>
              <w:pStyle w:val="Compact"/>
              <w:jc w:val="left"/>
            </w:pPr>
            <w:r>
              <w:t xml:space="preserve">Thematic Analysis</w:t>
            </w:r>
          </w:p>
        </w:tc>
      </w:tr>
    </w:tbl>
    <w:bookmarkEnd w:id="30"/>
    <w:bookmarkStart w:id="31" w:name="ethical-considerations"/>
    <w:p>
      <w:pPr>
        <w:pStyle w:val="Heading2"/>
      </w:pPr>
      <w:r>
        <w:t xml:space="preserve">6. Ethical Considerations</w:t>
      </w:r>
    </w:p>
    <w:p>
      <w:pPr>
        <w:pStyle w:val="FirstParagraph"/>
      </w:pPr>
      <w:r>
        <w:t xml:space="preserve">This Experiment Protocol strictly adheres to ethical guidelines for human subject research. All Bankers participating in the study will provide written informed consent. Confidentiality will be maintained by anonymizing all data. Participants will be informed of their right to withdraw from the study at any time without penalty. The simulation scenarios are designed to be challenging but will not cause undue psychological distress.</w:t>
      </w:r>
    </w:p>
    <w:bookmarkEnd w:id="31"/>
    <w:bookmarkStart w:id="32" w:name="expected-outcomes-and-impact"/>
    <w:p>
      <w:pPr>
        <w:pStyle w:val="Heading2"/>
      </w:pPr>
      <w:r>
        <w:t xml:space="preserve">7. Expected Outcomes and Impact</w:t>
      </w:r>
    </w:p>
    <w:p>
      <w:pPr>
        <w:pStyle w:val="FirstParagraph"/>
      </w:pPr>
      <w:r>
        <w:t xml:space="preserve">The findings from this experiment are expected to provide valuable insights into the competencies and challenges faced by Bankers in Myanmar Yangon. The results will inform the development of targeted training programs, enhance regulatory frameworks, and improve customer service standards. By understanding the specific needs of Bankers in this region, financial institutions can better support their workforce and contribute to the stability and growth of the local economy.</w:t>
      </w:r>
    </w:p>
    <w:bookmarkEnd w:id="32"/>
    <w:bookmarkStart w:id="33" w:name="conclusion"/>
    <w:p>
      <w:pPr>
        <w:pStyle w:val="Heading2"/>
      </w:pPr>
      <w:r>
        <w:t xml:space="preserve">8. Conclusion</w:t>
      </w:r>
    </w:p>
    <w:p>
      <w:pPr>
        <w:pStyle w:val="FirstParagraph"/>
      </w:pPr>
      <w:r>
        <w:t xml:space="preserve">This Experiment Protocol provides a structured approach to studying the role of the Banker in Myanmar Yangon. By combining rigorous methodology with context-specific scenarios, the study aims to generate actionable insights that will benefit both individual professionals and the broader financial sector. The successful implementation of this protocol will depend on the cooperation of participating banks, the dedication of the research team, and the active engagement of the Bankers involved.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Myanmar Yangon</dc:title>
  <dc:creator/>
  <dc:language>en</dc:language>
  <cp:keywords/>
  <dcterms:created xsi:type="dcterms:W3CDTF">2026-10-10T02:16:20Z</dcterms:created>
  <dcterms:modified xsi:type="dcterms:W3CDTF">2026-10-10T02:16:20Z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