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New Zealand Auckland</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Financial Technology Research Group</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operational efficiency, decision-making accuracy, and customer interaction quality of a Banker within the financial ecosystem of New Zealand Auckland. Auckland, as the primary economic hub of New Zealand, presents a unique environment characterized by high transaction volumes, diverse demographic profiles, and a rapidly evolving digital banking landscape. The term "Banker" in this context refers to a professional responsible for managing client relationships, assessing credit risk, and facilitating financial transactions within a retail or commercial banking branch.</w:t>
      </w:r>
    </w:p>
    <w:p>
      <w:pPr>
        <w:pStyle w:val="BodyText"/>
      </w:pPr>
      <w:r>
        <w:t xml:space="preserve">The purpose of this experiment is to quantify the impact of specific behavioral interventions and technological tools on the performance metrics of a Banker. By conducting this study in Auckland, we aim to gather data that is representative of major urban financial centers in the Southern Hemisphere, ensuring that findings are applicable to similar markets.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measure the baseline performance of a Banker in a standard Auckland branch environment.</w:t>
      </w:r>
    </w:p>
    <w:p>
      <w:pPr>
        <w:numPr>
          <w:ilvl w:val="0"/>
          <w:numId w:val="1001"/>
        </w:numPr>
        <w:pStyle w:val="Compact"/>
      </w:pPr>
      <w:r>
        <w:t xml:space="preserve">To assess the effect of a new digital advisory tool on the Banker's ability to identify cross-selling opportunities.</w:t>
      </w:r>
    </w:p>
    <w:p>
      <w:pPr>
        <w:numPr>
          <w:ilvl w:val="0"/>
          <w:numId w:val="1001"/>
        </w:numPr>
        <w:pStyle w:val="Compact"/>
      </w:pPr>
      <w:r>
        <w:t xml:space="preserve">To evaluate customer satisfaction levels when interacting with a Banker utilizing the experimental protocol versus traditional methods.</w:t>
      </w:r>
    </w:p>
    <w:p>
      <w:pPr>
        <w:numPr>
          <w:ilvl w:val="0"/>
          <w:numId w:val="1001"/>
        </w:numPr>
        <w:pStyle w:val="Compact"/>
      </w:pPr>
      <w:r>
        <w:t xml:space="preserve">To determine the time efficiency gains for the Banker when processing complex financial products.</w:t>
      </w:r>
    </w:p>
    <w:bookmarkEnd w:id="22"/>
    <w:bookmarkStart w:id="23" w:name="scope-and-location-specifics"/>
    <w:p>
      <w:pPr>
        <w:pStyle w:val="Heading2"/>
      </w:pPr>
      <w:r>
        <w:t xml:space="preserve">3. Scope and Location Specifics</w:t>
      </w:r>
    </w:p>
    <w:p>
      <w:pPr>
        <w:pStyle w:val="FirstParagraph"/>
      </w:pPr>
      <w:r>
        <w:t xml:space="preserve">This experiment will be conducted exclusively within selected banking branches located in the Auckland metropolitan area. The selection of New Zealand Auckland is critical due to its status as a global city with a high concentration of financial institutions. The study will focus on Bankers operating in both high-footfall CBD locations and suburban branches to ensure a representative sample of the Auckland banking demographic.</w:t>
      </w:r>
    </w:p>
    <w:p>
      <w:pPr>
        <w:pStyle w:val="BodyText"/>
      </w:pPr>
      <w:r>
        <w:t xml:space="preserve">All procedures must comply with the Privacy Act 2020 of New Zealand and the specific regulatory guidelines set forth by the Reserve Bank of New Zealand. The cultural context of Auckland, including the importance of trust and relationship-building in local business practices, will be considered when designing interaction scenarios.</w:t>
      </w:r>
    </w:p>
    <w:bookmarkEnd w:id="23"/>
    <w:bookmarkStart w:id="27" w:name="methodology"/>
    <w:p>
      <w:pPr>
        <w:pStyle w:val="Heading2"/>
      </w:pPr>
      <w:r>
        <w:t xml:space="preserve">4. Methodology</w:t>
      </w:r>
    </w:p>
    <w:bookmarkStart w:id="24" w:name="participants"/>
    <w:p>
      <w:pPr>
        <w:pStyle w:val="Heading3"/>
      </w:pPr>
      <w:r>
        <w:t xml:space="preserve">4.1 Participants</w:t>
      </w:r>
    </w:p>
    <w:p>
      <w:pPr>
        <w:pStyle w:val="FirstParagraph"/>
      </w:pPr>
      <w:r>
        <w:t xml:space="preserve">The study will involve two groups:</w:t>
      </w:r>
    </w:p>
    <w:p>
      <w:pPr>
        <w:numPr>
          <w:ilvl w:val="0"/>
          <w:numId w:val="1002"/>
        </w:numPr>
        <w:pStyle w:val="Compact"/>
      </w:pPr>
      <w:r>
        <w:rPr>
          <w:bCs/>
          <w:b/>
        </w:rPr>
        <w:t xml:space="preserve">Bankers:</w:t>
      </w:r>
      <w:r>
        <w:t xml:space="preserve"> </w:t>
      </w:r>
      <w:r>
        <w:t xml:space="preserve">A total of 20 Bankers will be recruited from participating branches in Auckland. Participants must have at least two years of experience in retail banking.</w:t>
      </w:r>
    </w:p>
    <w:p>
      <w:pPr>
        <w:numPr>
          <w:ilvl w:val="0"/>
          <w:numId w:val="1002"/>
        </w:numPr>
        <w:pStyle w:val="Compact"/>
      </w:pPr>
      <w:r>
        <w:rPr>
          <w:bCs/>
          <w:b/>
        </w:rPr>
        <w:t xml:space="preserve">Customers:</w:t>
      </w:r>
      <w:r>
        <w:t xml:space="preserve"> </w:t>
      </w:r>
      <w:r>
        <w:t xml:space="preserve">A sample of 500 customers will be engaged through simulated interactions and real-world transactions. Participants will be recruited from the local Auckland community.</w:t>
      </w:r>
    </w:p>
    <w:bookmarkEnd w:id="24"/>
    <w:bookmarkStart w:id="25" w:name="experimental-design"/>
    <w:p>
      <w:pPr>
        <w:pStyle w:val="Heading3"/>
      </w:pPr>
      <w:r>
        <w:t xml:space="preserve">4.2 Experimental Design</w:t>
      </w:r>
    </w:p>
    <w:p>
      <w:pPr>
        <w:pStyle w:val="FirstParagraph"/>
      </w:pPr>
      <w:r>
        <w:t xml:space="preserve">The experiment will utilize a randomized controlled trial (RCT) design. Bankers will be divided into two groups:</w:t>
      </w:r>
    </w:p>
    <w:p>
      <w:pPr>
        <w:numPr>
          <w:ilvl w:val="0"/>
          <w:numId w:val="1003"/>
        </w:numPr>
        <w:pStyle w:val="Compact"/>
      </w:pPr>
      <w:r>
        <w:rPr>
          <w:bCs/>
          <w:b/>
        </w:rPr>
        <w:t xml:space="preserve">Control Group:</w:t>
      </w:r>
      <w:r>
        <w:t xml:space="preserve"> </w:t>
      </w:r>
      <w:r>
        <w:t xml:space="preserve">Bankers will operate using standard operating procedures and existing technology stacks.</w:t>
      </w:r>
    </w:p>
    <w:p>
      <w:pPr>
        <w:numPr>
          <w:ilvl w:val="0"/>
          <w:numId w:val="1003"/>
        </w:numPr>
        <w:pStyle w:val="Compact"/>
      </w:pPr>
      <w:r>
        <w:rPr>
          <w:bCs/>
          <w:b/>
        </w:rPr>
        <w:t xml:space="preserve">Treatment Group:</w:t>
      </w:r>
      <w:r>
        <w:t xml:space="preserve"> </w:t>
      </w:r>
      <w:r>
        <w:t xml:space="preserve">Bankers will be equipped with a new AI-driven advisory dashboard designed to provide real-time insights into customer needs.</w:t>
      </w:r>
    </w:p>
    <w:p>
      <w:pPr>
        <w:pStyle w:val="FirstParagraph"/>
      </w:pPr>
      <w:r>
        <w:t xml:space="preserve">The experiment will run for a period of six weeks. During this time, the Banker's interactions will be monitored to collect quantitative and qualitative data.</w:t>
      </w:r>
    </w:p>
    <w:bookmarkEnd w:id="25"/>
    <w:bookmarkStart w:id="26" w:name="data-collection"/>
    <w:p>
      <w:pPr>
        <w:pStyle w:val="Heading3"/>
      </w:pPr>
      <w:r>
        <w:t xml:space="preserve">4.3 Data Collection</w:t>
      </w:r>
    </w:p>
    <w:p>
      <w:pPr>
        <w:pStyle w:val="FirstParagraph"/>
      </w:pPr>
      <w:r>
        <w:t xml:space="preserve">Data will be collected through the following methods:</w:t>
      </w:r>
    </w:p>
    <w:p>
      <w:pPr>
        <w:numPr>
          <w:ilvl w:val="0"/>
          <w:numId w:val="1004"/>
        </w:numPr>
        <w:pStyle w:val="Compact"/>
      </w:pPr>
      <w:r>
        <w:rPr>
          <w:bCs/>
          <w:b/>
        </w:rPr>
        <w:t xml:space="preserve">Transaction Logs:</w:t>
      </w:r>
      <w:r>
        <w:t xml:space="preserve"> </w:t>
      </w:r>
      <w:r>
        <w:t xml:space="preserve">Automated records of all transactions processed by the Banker.</w:t>
      </w:r>
    </w:p>
    <w:p>
      <w:pPr>
        <w:numPr>
          <w:ilvl w:val="0"/>
          <w:numId w:val="1004"/>
        </w:numPr>
        <w:pStyle w:val="Compact"/>
      </w:pPr>
      <w:r>
        <w:rPr>
          <w:bCs/>
          <w:b/>
        </w:rPr>
        <w:t xml:space="preserve">Customer Surveys:</w:t>
      </w:r>
      <w:r>
        <w:t xml:space="preserve"> </w:t>
      </w:r>
      <w:r>
        <w:t xml:space="preserve">Post-interaction surveys administered to customers to gauge satisfaction and trust.</w:t>
      </w:r>
    </w:p>
    <w:p>
      <w:pPr>
        <w:numPr>
          <w:ilvl w:val="0"/>
          <w:numId w:val="1004"/>
        </w:numPr>
        <w:pStyle w:val="Compact"/>
      </w:pPr>
      <w:r>
        <w:rPr>
          <w:bCs/>
          <w:b/>
        </w:rPr>
        <w:t xml:space="preserve">Observational Studies:</w:t>
      </w:r>
      <w:r>
        <w:t xml:space="preserve"> </w:t>
      </w:r>
      <w:r>
        <w:t xml:space="preserve">Trained observers will record the duration and quality of interactions between the Banker and the customer.</w:t>
      </w:r>
    </w:p>
    <w:bookmarkEnd w:id="26"/>
    <w:bookmarkEnd w:id="27"/>
    <w:bookmarkStart w:id="28" w:name="procedures"/>
    <w:p>
      <w:pPr>
        <w:pStyle w:val="Heading2"/>
      </w:pPr>
      <w:r>
        <w:t xml:space="preserve">5. Procedures</w:t>
      </w:r>
    </w:p>
    <w:p>
      <w:pPr>
        <w:pStyle w:val="FirstParagraph"/>
      </w:pPr>
      <w:r>
        <w:t xml:space="preserve">The following steps will be executed to ensure the integrity of the Experiment Protocol:</w:t>
      </w:r>
    </w:p>
    <w:p>
      <w:pPr>
        <w:numPr>
          <w:ilvl w:val="0"/>
          <w:numId w:val="1005"/>
        </w:numPr>
        <w:pStyle w:val="Compact"/>
      </w:pPr>
      <w:r>
        <w:rPr>
          <w:bCs/>
          <w:b/>
        </w:rPr>
        <w:t xml:space="preserve">Recruitment:</w:t>
      </w:r>
      <w:r>
        <w:t xml:space="preserve"> </w:t>
      </w:r>
      <w:r>
        <w:t xml:space="preserve">Bankers and customers will be recruited through local advertising in Auckland and internal bank communications.</w:t>
      </w:r>
    </w:p>
    <w:p>
      <w:pPr>
        <w:numPr>
          <w:ilvl w:val="0"/>
          <w:numId w:val="1005"/>
        </w:numPr>
        <w:pStyle w:val="Compact"/>
      </w:pPr>
      <w:r>
        <w:rPr>
          <w:bCs/>
          <w:b/>
        </w:rPr>
        <w:t xml:space="preserve">Training:</w:t>
      </w:r>
      <w:r>
        <w:t xml:space="preserve"> </w:t>
      </w:r>
      <w:r>
        <w:t xml:space="preserve">Bankers in the treatment group will undergo a two-day training session on the new advisory tool.</w:t>
      </w:r>
    </w:p>
    <w:p>
      <w:pPr>
        <w:numPr>
          <w:ilvl w:val="0"/>
          <w:numId w:val="1005"/>
        </w:numPr>
        <w:pStyle w:val="Compact"/>
      </w:pPr>
      <w:r>
        <w:rPr>
          <w:bCs/>
          <w:b/>
        </w:rPr>
        <w:t xml:space="preserve">Baseline Measurement:</w:t>
      </w:r>
      <w:r>
        <w:t xml:space="preserve"> </w:t>
      </w:r>
      <w:r>
        <w:t xml:space="preserve">One week of data will be collected from all Bankers before the intervention begins.</w:t>
      </w:r>
    </w:p>
    <w:p>
      <w:pPr>
        <w:numPr>
          <w:ilvl w:val="0"/>
          <w:numId w:val="1005"/>
        </w:numPr>
        <w:pStyle w:val="Compact"/>
      </w:pPr>
      <w:r>
        <w:rPr>
          <w:bCs/>
          <w:b/>
        </w:rPr>
        <w:t xml:space="preserve">Intervention:</w:t>
      </w:r>
      <w:r>
        <w:t xml:space="preserve"> </w:t>
      </w:r>
      <w:r>
        <w:t xml:space="preserve">The treatment group will begin using the new tool while the control group continues with standard procedures.</w:t>
      </w:r>
    </w:p>
    <w:p>
      <w:pPr>
        <w:numPr>
          <w:ilvl w:val="0"/>
          <w:numId w:val="1005"/>
        </w:numPr>
        <w:pStyle w:val="Compact"/>
      </w:pPr>
      <w:r>
        <w:rPr>
          <w:bCs/>
          <w:b/>
        </w:rPr>
        <w:t xml:space="preserve">Monitoring:</w:t>
      </w:r>
      <w:r>
        <w:t xml:space="preserve"> </w:t>
      </w:r>
      <w:r>
        <w:t xml:space="preserve">Weekly reviews will be conducted to ensure compliance with the protocol and to address any technical issues.</w:t>
      </w:r>
    </w:p>
    <w:p>
      <w:pPr>
        <w:numPr>
          <w:ilvl w:val="0"/>
          <w:numId w:val="1005"/>
        </w:numPr>
        <w:pStyle w:val="Compact"/>
      </w:pPr>
      <w:r>
        <w:rPr>
          <w:bCs/>
          <w:b/>
        </w:rPr>
        <w:t xml:space="preserve">Data Analysis:</w:t>
      </w:r>
      <w:r>
        <w:t xml:space="preserve"> </w:t>
      </w:r>
      <w:r>
        <w:t xml:space="preserve">Upon completion of the six-week period, data will be analyzed using statistical software to determine significant differences between the groups.</w:t>
      </w:r>
    </w:p>
    <w:bookmarkEnd w:id="28"/>
    <w:bookmarkStart w:id="29" w:name="ethical-considerations"/>
    <w:p>
      <w:pPr>
        <w:pStyle w:val="Heading2"/>
      </w:pPr>
      <w:r>
        <w:t xml:space="preserve">6. Ethical Considerations</w:t>
      </w:r>
    </w:p>
    <w:p>
      <w:pPr>
        <w:pStyle w:val="FirstParagraph"/>
      </w:pPr>
      <w:r>
        <w:t xml:space="preserve">Given the sensitive nature of financial data, strict ethical guidelines will be followed. All customer data will be anonymized in accordance with New Zealand privacy laws. Informed consent will be obtained from all Bankers and customers prior to their participation. The experiment will be reviewed by an independent ethics committee to ensure that the rights and well-being of participants are protected.</w:t>
      </w:r>
    </w:p>
    <w:p>
      <w:pPr>
        <w:pStyle w:val="BodyText"/>
      </w:pPr>
      <w:r>
        <w:rPr>
          <w:bCs/>
          <w:b/>
        </w:rPr>
        <w:t xml:space="preserve">Note:</w:t>
      </w:r>
      <w:r>
        <w:t xml:space="preserve"> </w:t>
      </w:r>
      <w:r>
        <w:t xml:space="preserve">Special attention will be paid to ensuring that the Banker does not feel pressured to meet unrealistic targets as a result of the experiment.</w:t>
      </w:r>
    </w:p>
    <w:bookmarkEnd w:id="29"/>
    <w:bookmarkStart w:id="30" w:name="expected-outcomes"/>
    <w:p>
      <w:pPr>
        <w:pStyle w:val="Heading2"/>
      </w:pPr>
      <w:r>
        <w:t xml:space="preserve">7. Expected Outcomes</w:t>
      </w:r>
    </w:p>
    <w:p>
      <w:pPr>
        <w:pStyle w:val="FirstParagraph"/>
      </w:pPr>
      <w:r>
        <w:t xml:space="preserve">We anticipate that the Bankers in the treatment group will demonstrate a 15% increase in cross-selling success rates and a 10% reduction in transaction processing time. Additionally, customer satisfaction scores are expected to improve due to more personalized and efficient service. These outcomes will provide valuable insights into the future of banking operations in New Zealand Auckland and beyond.</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performance of a Banker in the dynamic financial environment of New Zealand Auckland. By adhering to the outlined procedures and ethical standards, we aim to generate robust data that can inform future banking practices and technological investments.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New Zealand Auckland</dc:title>
  <dc:creator/>
  <dc:language>en</dc:language>
  <cp:keywords/>
  <dcterms:created xsi:type="dcterms:W3CDTF">2026-10-10T07:08:38Z</dcterms:created>
  <dcterms:modified xsi:type="dcterms:W3CDTF">2026-10-10T07:08:38Z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