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Role</w:t>
      </w:r>
      <w:r>
        <w:t xml:space="preserve"> </w:t>
      </w:r>
      <w:r>
        <w:t xml:space="preserve">Simulation</w:t>
      </w:r>
      <w:r>
        <w:t xml:space="preserve"> </w:t>
      </w:r>
      <w:r>
        <w:t xml:space="preserve">in</w:t>
      </w:r>
      <w:r>
        <w:t xml:space="preserve"> </w:t>
      </w:r>
      <w:r>
        <w:t xml:space="preserve">Qatar</w:t>
      </w:r>
      <w:r>
        <w:t xml:space="preserve"> </w:t>
      </w:r>
      <w:r>
        <w:t xml:space="preserve">Doha</w:t>
      </w:r>
    </w:p>
    <w:bookmarkStart w:id="20" w:name="Xdbfe597c7037f53bf2f8ee3e3a08e207bf9f531"/>
    <w:p>
      <w:pPr>
        <w:pStyle w:val="Heading1"/>
      </w:pPr>
      <w:r>
        <w:t xml:space="preserve">Experiment Protocol: Banker Role Simulation in Qatar Doha</w:t>
      </w:r>
    </w:p>
    <w:p>
      <w:pPr>
        <w:pStyle w:val="FirstParagraph"/>
      </w:pPr>
      <w:r>
        <w:rPr>
          <w:bCs/>
          <w:b/>
        </w:rPr>
        <w:t xml:space="preserve">Protocol ID:</w:t>
      </w:r>
      <w:r>
        <w:t xml:space="preserve"> </w:t>
      </w:r>
      <w:r>
        <w:t xml:space="preserve">QD-BNK-EXP-2024-001</w:t>
      </w:r>
    </w:p>
    <w:p>
      <w:pPr>
        <w:pStyle w:val="BodyText"/>
      </w:pPr>
      <w:r>
        <w:rPr>
          <w:bCs/>
          <w:b/>
        </w:rPr>
        <w:t xml:space="preserve">Location:</w:t>
      </w:r>
      <w:r>
        <w:t xml:space="preserve"> </w:t>
      </w:r>
      <w:r>
        <w:t xml:space="preserve">Qatar Doha, Financial District</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conducting a controlled simulation of the Banker role within the financial ecosystem of Qatar Doha. The primary objective is to evaluate the operational efficiency, decision-making accuracy, and regulatory compliance of a Banker when subjected to high-volume transaction scenarios typical of the Doha financial market.</w:t>
      </w:r>
    </w:p>
    <w:p>
      <w:pPr>
        <w:pStyle w:val="BodyText"/>
      </w:pPr>
      <w:r>
        <w:t xml:space="preserve">Qatar Doha serves as a critical hub for international finance in the Middle East. Therefore, this experiment aims to assess how a Banker adapts to local economic conditions, including currency fluctuations involving the Qatari Riyal (QAR), cross-border transaction protocols, and adherence to Qatar Central Bank (QCB) regulations.</w:t>
      </w:r>
    </w:p>
    <w:bookmarkEnd w:id="21"/>
    <w:bookmarkStart w:id="22" w:name="scope-and-context"/>
    <w:p>
      <w:pPr>
        <w:pStyle w:val="Heading2"/>
      </w:pPr>
      <w:r>
        <w:t xml:space="preserve">2. Scope and Context</w:t>
      </w:r>
    </w:p>
    <w:p>
      <w:pPr>
        <w:pStyle w:val="FirstParagraph"/>
      </w:pPr>
      <w:r>
        <w:t xml:space="preserve">The scope of this Experiment Protocol is limited to the simulation of retail and corporate banking functions performed by a Banker in a controlled environment located in Qatar Doha. The simulation will replicate real-world conditions found in major financial institutions operating in the city.</w:t>
      </w:r>
    </w:p>
    <w:p>
      <w:pPr>
        <w:pStyle w:val="BodyText"/>
      </w:pPr>
      <w:r>
        <w:t xml:space="preserve">Key aspects of the context include:</w:t>
      </w:r>
    </w:p>
    <w:p>
      <w:pPr>
        <w:numPr>
          <w:ilvl w:val="0"/>
          <w:numId w:val="1001"/>
        </w:numPr>
        <w:pStyle w:val="Compact"/>
      </w:pPr>
      <w:r>
        <w:t xml:space="preserve">Integration of local banking software used in Qatar Doha.</w:t>
      </w:r>
    </w:p>
    <w:p>
      <w:pPr>
        <w:numPr>
          <w:ilvl w:val="0"/>
          <w:numId w:val="1001"/>
        </w:numPr>
        <w:pStyle w:val="Compact"/>
      </w:pPr>
      <w:r>
        <w:t xml:space="preserve">Simulation of customer interactions reflecting the demographic diversity of Qatar Doha.</w:t>
      </w:r>
    </w:p>
    <w:p>
      <w:pPr>
        <w:numPr>
          <w:ilvl w:val="0"/>
          <w:numId w:val="1001"/>
        </w:numPr>
        <w:pStyle w:val="Compact"/>
      </w:pPr>
      <w:r>
        <w:t xml:space="preserve">Compliance with Islamic banking principles where applicable, as these are prevalent in the region.</w:t>
      </w:r>
    </w:p>
    <w:bookmarkEnd w:id="22"/>
    <w:bookmarkStart w:id="23" w:name="participants-and-roles"/>
    <w:p>
      <w:pPr>
        <w:pStyle w:val="Heading2"/>
      </w:pPr>
      <w:r>
        <w:t xml:space="preserve">3. Participants and Roles</w:t>
      </w:r>
    </w:p>
    <w:p>
      <w:pPr>
        <w:pStyle w:val="FirstParagraph"/>
      </w:pPr>
      <w:r>
        <w:t xml:space="preserve">The experiment involves three primary roles:</w:t>
      </w:r>
    </w:p>
    <w:p>
      <w:pPr>
        <w:numPr>
          <w:ilvl w:val="0"/>
          <w:numId w:val="1002"/>
        </w:numPr>
        <w:pStyle w:val="Compact"/>
      </w:pPr>
      <w:r>
        <w:rPr>
          <w:bCs/>
          <w:b/>
        </w:rPr>
        <w:t xml:space="preserve">The Banker:</w:t>
      </w:r>
      <w:r>
        <w:t xml:space="preserve"> </w:t>
      </w:r>
      <w:r>
        <w:t xml:space="preserve">The subject of the experiment. This individual must possess a valid banking license or equivalent qualification recognized in Qatar Doha. The Banker will perform tasks such as loan processing, account management, and fraud detection.</w:t>
      </w:r>
    </w:p>
    <w:p>
      <w:pPr>
        <w:numPr>
          <w:ilvl w:val="0"/>
          <w:numId w:val="1002"/>
        </w:numPr>
        <w:pStyle w:val="Compact"/>
      </w:pPr>
      <w:r>
        <w:rPr>
          <w:bCs/>
          <w:b/>
        </w:rPr>
        <w:t xml:space="preserve">The Observer:</w:t>
      </w:r>
      <w:r>
        <w:t xml:space="preserve"> </w:t>
      </w:r>
      <w:r>
        <w:t xml:space="preserve">A neutral party responsible for recording data, ensuring protocol adherence, and noting deviations in the Banker's performance.</w:t>
      </w:r>
    </w:p>
    <w:p>
      <w:pPr>
        <w:numPr>
          <w:ilvl w:val="0"/>
          <w:numId w:val="1002"/>
        </w:numPr>
        <w:pStyle w:val="Compact"/>
      </w:pPr>
      <w:r>
        <w:rPr>
          <w:bCs/>
          <w:b/>
        </w:rPr>
        <w:t xml:space="preserve">The Client Simulator:</w:t>
      </w:r>
      <w:r>
        <w:t xml:space="preserve"> </w:t>
      </w:r>
      <w:r>
        <w:t xml:space="preserve">An actor trained to simulate various customer scenarios, including complex financial inquiries and potential compliance risks.</w:t>
      </w:r>
    </w:p>
    <w:bookmarkEnd w:id="23"/>
    <w:bookmarkStart w:id="24" w:name="experimental-setup"/>
    <w:p>
      <w:pPr>
        <w:pStyle w:val="Heading2"/>
      </w:pPr>
      <w:r>
        <w:t xml:space="preserve">4. Experimental Setup</w:t>
      </w:r>
    </w:p>
    <w:p>
      <w:pPr>
        <w:pStyle w:val="FirstParagraph"/>
      </w:pPr>
      <w:r>
        <w:t xml:space="preserve">The experiment will take place in a simulated banking branch environment designed to mirror the physical layout and technological infrastructure of a standard bank in Qatar Doha. The setup includes:</w:t>
      </w:r>
    </w:p>
    <w:p>
      <w:pPr>
        <w:numPr>
          <w:ilvl w:val="0"/>
          <w:numId w:val="1003"/>
        </w:numPr>
        <w:pStyle w:val="Compact"/>
      </w:pPr>
      <w:r>
        <w:t xml:space="preserve">Workstations equipped with dual monitors displaying banking software interfaces.</w:t>
      </w:r>
    </w:p>
    <w:p>
      <w:pPr>
        <w:numPr>
          <w:ilvl w:val="0"/>
          <w:numId w:val="1003"/>
        </w:numPr>
        <w:pStyle w:val="Compact"/>
      </w:pPr>
      <w:r>
        <w:t xml:space="preserve">Secure vault access simulation for cash handling procedures.</w:t>
      </w:r>
    </w:p>
    <w:p>
      <w:pPr>
        <w:numPr>
          <w:ilvl w:val="0"/>
          <w:numId w:val="1003"/>
        </w:numPr>
        <w:pStyle w:val="Compact"/>
      </w:pPr>
      <w:r>
        <w:t xml:space="preserve">Audio and video recording equipment to capture interactions for later analysis.</w:t>
      </w:r>
    </w:p>
    <w:p>
      <w:pPr>
        <w:numPr>
          <w:ilvl w:val="0"/>
          <w:numId w:val="1003"/>
        </w:numPr>
        <w:pStyle w:val="Compact"/>
      </w:pPr>
      <w:r>
        <w:t xml:space="preserve">Network connectivity simulating the latency and security protocols of Qatar Doha's financial networks.</w:t>
      </w:r>
    </w:p>
    <w:p>
      <w:pPr>
        <w:pStyle w:val="FirstParagraph"/>
      </w:pPr>
      <w:r>
        <w:t xml:space="preserve">All equipment must be calibrated and tested prior to the commencement of the experiment to ensure data integrity.</w:t>
      </w:r>
    </w:p>
    <w:bookmarkEnd w:id="24"/>
    <w:bookmarkStart w:id="28" w:name="procedure"/>
    <w:p>
      <w:pPr>
        <w:pStyle w:val="Heading2"/>
      </w:pPr>
      <w:r>
        <w:t xml:space="preserve">5. Procedure</w:t>
      </w:r>
    </w:p>
    <w:bookmarkStart w:id="25" w:name="pre-experiment-phase"/>
    <w:p>
      <w:pPr>
        <w:pStyle w:val="Heading3"/>
      </w:pPr>
      <w:r>
        <w:t xml:space="preserve">5.1 Pre-Experiment Phase</w:t>
      </w:r>
    </w:p>
    <w:p>
      <w:pPr>
        <w:pStyle w:val="FirstParagraph"/>
      </w:pPr>
      <w:r>
        <w:t xml:space="preserve">Before the experiment begins, the Banker will undergo a briefing session to familiarize themselves with the simulation parameters. This includes reviewing the specific regulatory guidelines of Qatar Doha that will be enforced during the experiment. The Banker will also complete a baseline assessment to measure their initial proficiency levels.</w:t>
      </w:r>
    </w:p>
    <w:bookmarkEnd w:id="25"/>
    <w:bookmarkStart w:id="26" w:name="execution-phase"/>
    <w:p>
      <w:pPr>
        <w:pStyle w:val="Heading3"/>
      </w:pPr>
      <w:r>
        <w:t xml:space="preserve">5.2 Execution Phase</w:t>
      </w:r>
    </w:p>
    <w:p>
      <w:pPr>
        <w:pStyle w:val="FirstParagraph"/>
      </w:pPr>
      <w:r>
        <w:t xml:space="preserve">The execution phase consists of three distinct modules, each lasting 45 minutes: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Module</w:t>
            </w:r>
          </w:p>
        </w:tc>
        <w:tc>
          <w:tcPr/>
          <w:p>
            <w:pPr>
              <w:pStyle w:val="Compact"/>
              <w:jc w:val="left"/>
            </w:pPr>
            <w:r>
              <w:t xml:space="preserve">Description</w:t>
            </w:r>
          </w:p>
        </w:tc>
        <w:tc>
          <w:tcPr/>
          <w:p>
            <w:pPr>
              <w:pStyle w:val="Compact"/>
              <w:jc w:val="left"/>
            </w:pPr>
            <w:r>
              <w:t xml:space="preserve">Key Metrics</w:t>
            </w:r>
          </w:p>
        </w:tc>
      </w:tr>
      <w:tr>
        <w:tc>
          <w:tcPr/>
          <w:p>
            <w:pPr>
              <w:pStyle w:val="Compact"/>
              <w:jc w:val="left"/>
            </w:pPr>
            <w:r>
              <w:t xml:space="preserve">Module 1: Transaction Processing</w:t>
            </w:r>
          </w:p>
        </w:tc>
        <w:tc>
          <w:tcPr/>
          <w:p>
            <w:pPr>
              <w:pStyle w:val="Compact"/>
              <w:jc w:val="left"/>
            </w:pPr>
            <w:r>
              <w:t xml:space="preserve">The Banker processes a series of deposits, withdrawals, and transfers involving QAR and foreign currencies.</w:t>
            </w:r>
          </w:p>
        </w:tc>
        <w:tc>
          <w:tcPr/>
          <w:p>
            <w:pPr>
              <w:pStyle w:val="Compact"/>
              <w:jc w:val="left"/>
            </w:pPr>
            <w:r>
              <w:t xml:space="preserve">Accuracy rate, processing time, error frequency.</w:t>
            </w:r>
          </w:p>
        </w:tc>
      </w:tr>
      <w:tr>
        <w:tc>
          <w:tcPr/>
          <w:p>
            <w:pPr>
              <w:pStyle w:val="Compact"/>
              <w:jc w:val="left"/>
            </w:pPr>
            <w:r>
              <w:t xml:space="preserve">Module 2: Compliance and Risk Management</w:t>
            </w:r>
          </w:p>
        </w:tc>
        <w:tc>
          <w:tcPr/>
          <w:p>
            <w:pPr>
              <w:pStyle w:val="Compact"/>
              <w:jc w:val="left"/>
            </w:pPr>
            <w:r>
              <w:t xml:space="preserve">The Banker identifies and reports suspicious transactions in accordance with Qatar Doha's anti-money laundering (AML) laws.</w:t>
            </w:r>
          </w:p>
        </w:tc>
        <w:tc>
          <w:tcPr/>
          <w:p>
            <w:pPr>
              <w:pStyle w:val="Compact"/>
              <w:jc w:val="left"/>
            </w:pPr>
            <w:r>
              <w:t xml:space="preserve">Detection rate, reporting timeliness, adherence to protocol.</w:t>
            </w:r>
          </w:p>
        </w:tc>
      </w:tr>
      <w:tr>
        <w:tc>
          <w:tcPr/>
          <w:p>
            <w:pPr>
              <w:pStyle w:val="Compact"/>
              <w:jc w:val="left"/>
            </w:pPr>
            <w:r>
              <w:t xml:space="preserve">Module 3: Customer Advisory</w:t>
            </w:r>
          </w:p>
        </w:tc>
        <w:tc>
          <w:tcPr/>
          <w:p>
            <w:pPr>
              <w:pStyle w:val="Compact"/>
              <w:jc w:val="left"/>
            </w:pPr>
            <w:r>
              <w:t xml:space="preserve">The Banker provides financial advice to simulated clients, including loan options and investment products available in Qatar Doha.</w:t>
            </w:r>
          </w:p>
        </w:tc>
        <w:tc>
          <w:tcPr/>
          <w:p>
            <w:pPr>
              <w:pStyle w:val="Compact"/>
              <w:jc w:val="left"/>
            </w:pPr>
            <w:r>
              <w:t xml:space="preserve">Client satisfaction score, appropriateness of advice, regulatory compliance.</w:t>
            </w:r>
          </w:p>
        </w:tc>
      </w:tr>
    </w:tbl>
    <w:bookmarkEnd w:id="26"/>
    <w:bookmarkStart w:id="27" w:name="post-experiment-phase"/>
    <w:p>
      <w:pPr>
        <w:pStyle w:val="Heading3"/>
      </w:pPr>
      <w:r>
        <w:t xml:space="preserve">5.3 Post-Experiment Phase</w:t>
      </w:r>
    </w:p>
    <w:p>
      <w:pPr>
        <w:pStyle w:val="FirstParagraph"/>
      </w:pPr>
      <w:r>
        <w:t xml:space="preserve">Following the completion of all modules, the Banker will participate in a debriefing session. During this session, the Observer will provide feedback on the Banker's performance, highlighting areas of strength and areas requiring improvement. The Banker will also complete a self-assessment questionnaire.</w:t>
      </w:r>
    </w:p>
    <w:bookmarkEnd w:id="27"/>
    <w:bookmarkEnd w:id="28"/>
    <w:bookmarkStart w:id="29" w:name="data-collection-and-analysis"/>
    <w:p>
      <w:pPr>
        <w:pStyle w:val="Heading2"/>
      </w:pPr>
      <w:r>
        <w:t xml:space="preserve">6. Data Collection and Analysis</w:t>
      </w:r>
    </w:p>
    <w:p>
      <w:pPr>
        <w:pStyle w:val="FirstParagraph"/>
      </w:pPr>
      <w:r>
        <w:t xml:space="preserve">Data collected during the experiment will include quantitative metrics (e.g., transaction times, error rates) and qualitative observations (e.g., communication skills, decision-making rationale). All data will be anonymized to protect the identity of the Banker.</w:t>
      </w:r>
    </w:p>
    <w:p>
      <w:pPr>
        <w:pStyle w:val="BodyText"/>
      </w:pPr>
      <w:r>
        <w:t xml:space="preserve">Analysis will be conducted using statistical methods to determine the significance of the results. The findings will be compared against industry benchmarks for Bankers operating in Qatar Doha to assess relative performance.</w:t>
      </w:r>
    </w:p>
    <w:bookmarkEnd w:id="29"/>
    <w:bookmarkStart w:id="30" w:name="ethical-considerations"/>
    <w:p>
      <w:pPr>
        <w:pStyle w:val="Heading2"/>
      </w:pPr>
      <w:r>
        <w:t xml:space="preserve">7. Ethical Considerations</w:t>
      </w:r>
    </w:p>
    <w:p>
      <w:pPr>
        <w:pStyle w:val="FirstParagraph"/>
      </w:pPr>
      <w:r>
        <w:t xml:space="preserve">This Experiment Protocol adheres to strict ethical guidelines. Informed consent will be obtained from all participants prior to the experiment. Participants have the right to withdraw at any time without penalty. All data will be stored securely and used solely for the purposes of this experiment.</w:t>
      </w:r>
    </w:p>
    <w:p>
      <w:pPr>
        <w:pStyle w:val="BodyText"/>
      </w:pPr>
      <w:r>
        <w:t xml:space="preserve">Special attention will be paid to cultural sensitivity, ensuring that the simulation respects the norms and values of Qatar Doha.</w:t>
      </w:r>
    </w:p>
    <w:bookmarkEnd w:id="30"/>
    <w:bookmarkStart w:id="31" w:name="conclusion"/>
    <w:p>
      <w:pPr>
        <w:pStyle w:val="Heading2"/>
      </w:pPr>
      <w:r>
        <w:t xml:space="preserve">8. Conclusion</w:t>
      </w:r>
    </w:p>
    <w:p>
      <w:pPr>
        <w:pStyle w:val="FirstParagraph"/>
      </w:pPr>
      <w:r>
        <w:t xml:space="preserve">This Experiment Protocol provides a comprehensive framework for evaluating the performance of a Banker in the context of Qatar Doha. By simulating real-world conditions and focusing on key aspects of banking operations, the experiment aims to generate valuable insights that can inform training programs and operational improvements within the financial sector.</w:t>
      </w:r>
    </w:p>
    <w:p>
      <w:pPr>
        <w:pStyle w:val="BodyText"/>
      </w:pPr>
      <w:r>
        <w:t xml:space="preserve">The results of this experiment will contribute to a deeper understanding of the challenges and opportunities faced by Bankers in Qatar Doha, ultimately supporting the development of a more robust and efficient financial system.</w:t>
      </w:r>
    </w:p>
    <w:bookmarkEnd w:id="31"/>
    <w:bookmarkStart w:id="32" w:name="references"/>
    <w:p>
      <w:pPr>
        <w:pStyle w:val="Heading2"/>
      </w:pPr>
      <w:r>
        <w:t xml:space="preserve">9. References</w:t>
      </w:r>
    </w:p>
    <w:p>
      <w:pPr>
        <w:numPr>
          <w:ilvl w:val="0"/>
          <w:numId w:val="1004"/>
        </w:numPr>
        <w:pStyle w:val="Compact"/>
      </w:pPr>
      <w:r>
        <w:t xml:space="preserve">Qatar Central Bank Regulations (2023).</w:t>
      </w:r>
    </w:p>
    <w:p>
      <w:pPr>
        <w:numPr>
          <w:ilvl w:val="0"/>
          <w:numId w:val="1004"/>
        </w:numPr>
        <w:pStyle w:val="Compact"/>
      </w:pPr>
      <w:r>
        <w:t xml:space="preserve">International Banking Standards for the Middle East Region.</w:t>
      </w:r>
    </w:p>
    <w:p>
      <w:pPr>
        <w:numPr>
          <w:ilvl w:val="0"/>
          <w:numId w:val="1004"/>
        </w:numPr>
        <w:pStyle w:val="Compact"/>
      </w:pPr>
      <w:r>
        <w:t xml:space="preserve">Local Financial Market Reports for Qatar Doha.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Role Simulation in Qatar Doha</dc:title>
  <dc:creator/>
  <dc:language>en</dc:language>
  <cp:keywords/>
  <dcterms:created xsi:type="dcterms:W3CDTF">2026-10-10T06:15:20Z</dcterms:created>
  <dcterms:modified xsi:type="dcterms:W3CDTF">2026-10-10T06:15:20Z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