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Saint</w:t>
      </w:r>
      <w:r>
        <w:t xml:space="preserve"> </w:t>
      </w:r>
      <w:r>
        <w:t xml:space="preserve">Petersburg</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Russia, Saint Petersburg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Experiment Protocol for the "Banker" project, designed to be implemented in Saint Petersburg, Russia. The primary objective of this experiment is to evaluate the effectiveness of a new banking service model that integrates advanced digital technologies with traditional banking practices. The "Banker" experiment aims to enhance customer experience, improve operational efficiency, and ensure compliance with Russian financial regulations.</w:t>
      </w:r>
    </w:p>
    <w:p>
      <w:pPr>
        <w:pStyle w:val="BodyText"/>
      </w:pPr>
      <w:r>
        <w:t xml:space="preserve">Saint Petersburg, as a major financial hub in Russia, provides an ideal environment for this experiment due to its diverse population, robust financial infrastructure, and strategic importance in the national economy.</w:t>
      </w:r>
    </w:p>
    <w:bookmarkEnd w:id="21"/>
    <w:bookmarkStart w:id="22" w:name="objectives"/>
    <w:p>
      <w:pPr>
        <w:pStyle w:val="Heading2"/>
      </w:pPr>
      <w:r>
        <w:t xml:space="preserve">2. Objectives</w:t>
      </w:r>
    </w:p>
    <w:p>
      <w:pPr>
        <w:numPr>
          <w:ilvl w:val="0"/>
          <w:numId w:val="1001"/>
        </w:numPr>
        <w:pStyle w:val="Compact"/>
      </w:pPr>
      <w:r>
        <w:t xml:space="preserve">To assess the impact of digital transformation on customer satisfaction and loyalty.</w:t>
      </w:r>
    </w:p>
    <w:p>
      <w:pPr>
        <w:numPr>
          <w:ilvl w:val="0"/>
          <w:numId w:val="1001"/>
        </w:numPr>
        <w:pStyle w:val="Compact"/>
      </w:pPr>
      <w:r>
        <w:t xml:space="preserve">To measure the efficiency gains in transaction processing and customer service.</w:t>
      </w:r>
    </w:p>
    <w:p>
      <w:pPr>
        <w:numPr>
          <w:ilvl w:val="0"/>
          <w:numId w:val="1001"/>
        </w:numPr>
        <w:pStyle w:val="Compact"/>
      </w:pPr>
      <w:r>
        <w:t xml:space="preserve">To evaluate the security and reliability of the new banking platform.</w:t>
      </w:r>
    </w:p>
    <w:p>
      <w:pPr>
        <w:numPr>
          <w:ilvl w:val="0"/>
          <w:numId w:val="1001"/>
        </w:numPr>
        <w:pStyle w:val="Compact"/>
      </w:pPr>
      <w:r>
        <w:t xml:space="preserve">To ensure full compliance with Russian banking laws and regulations.</w:t>
      </w:r>
    </w:p>
    <w:p>
      <w:pPr>
        <w:numPr>
          <w:ilvl w:val="0"/>
          <w:numId w:val="1001"/>
        </w:numPr>
        <w:pStyle w:val="Compact"/>
      </w:pPr>
      <w:r>
        <w:t xml:space="preserve">To gather data for future scaling of the "Banker" model across other regions in Russia.</w:t>
      </w:r>
    </w:p>
    <w:bookmarkEnd w:id="22"/>
    <w:bookmarkStart w:id="23" w:name="scope"/>
    <w:p>
      <w:pPr>
        <w:pStyle w:val="Heading2"/>
      </w:pPr>
      <w:r>
        <w:t xml:space="preserve">3. Scope</w:t>
      </w:r>
    </w:p>
    <w:p>
      <w:pPr>
        <w:pStyle w:val="FirstParagraph"/>
      </w:pPr>
      <w:r>
        <w:t xml:space="preserve">The experiment will be conducted in selected branches of the participating bank in Saint Petersburg. It will involve a sample of 5,000 customers over a period of six months. The scope includes:</w:t>
      </w:r>
    </w:p>
    <w:p>
      <w:pPr>
        <w:numPr>
          <w:ilvl w:val="0"/>
          <w:numId w:val="1002"/>
        </w:numPr>
        <w:pStyle w:val="Compact"/>
      </w:pPr>
      <w:r>
        <w:t xml:space="preserve">Implementation of a new digital banking platform.</w:t>
      </w:r>
    </w:p>
    <w:p>
      <w:pPr>
        <w:numPr>
          <w:ilvl w:val="0"/>
          <w:numId w:val="1002"/>
        </w:numPr>
        <w:pStyle w:val="Compact"/>
      </w:pPr>
      <w:r>
        <w:t xml:space="preserve">Training of bank staff on new procedures and technologies.</w:t>
      </w:r>
    </w:p>
    <w:p>
      <w:pPr>
        <w:numPr>
          <w:ilvl w:val="0"/>
          <w:numId w:val="1002"/>
        </w:numPr>
        <w:pStyle w:val="Compact"/>
      </w:pPr>
      <w:r>
        <w:t xml:space="preserve">Collection and analysis of customer feedback and performance metrics.</w:t>
      </w:r>
    </w:p>
    <w:p>
      <w:pPr>
        <w:numPr>
          <w:ilvl w:val="0"/>
          <w:numId w:val="1002"/>
        </w:numPr>
        <w:pStyle w:val="Compact"/>
      </w:pPr>
      <w:r>
        <w:t xml:space="preserve">Monitoring of regulatory compliance throughout the experiment.</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selected randomly from the bank's customer base in Saint Petersburg. The sample will be stratified to ensure representation across different demographics, including age, income level, and banking activity.</w:t>
      </w:r>
    </w:p>
    <w:bookmarkEnd w:id="24"/>
    <w:bookmarkStart w:id="25" w:name="implementation-phases"/>
    <w:p>
      <w:pPr>
        <w:pStyle w:val="Heading3"/>
      </w:pPr>
      <w:r>
        <w:t xml:space="preserve">4.2 Implementation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1 month</w:t>
            </w:r>
          </w:p>
        </w:tc>
        <w:tc>
          <w:tcPr/>
          <w:p>
            <w:pPr>
              <w:pStyle w:val="Compact"/>
              <w:jc w:val="left"/>
            </w:pPr>
            <w:r>
              <w:t xml:space="preserve">System setup, staff training, participant recruitment.</w:t>
            </w:r>
          </w:p>
        </w:tc>
      </w:tr>
      <w:tr>
        <w:tc>
          <w:tcPr/>
          <w:p>
            <w:pPr>
              <w:pStyle w:val="Compact"/>
              <w:jc w:val="left"/>
            </w:pPr>
            <w:r>
              <w:t xml:space="preserve">Phase 2: Execution</w:t>
            </w:r>
          </w:p>
        </w:tc>
        <w:tc>
          <w:tcPr/>
          <w:p>
            <w:pPr>
              <w:pStyle w:val="Compact"/>
              <w:jc w:val="left"/>
            </w:pPr>
            <w:r>
              <w:t xml:space="preserve">4 months</w:t>
            </w:r>
          </w:p>
        </w:tc>
        <w:tc>
          <w:tcPr/>
          <w:p>
            <w:pPr>
              <w:pStyle w:val="Compact"/>
              <w:jc w:val="left"/>
            </w:pPr>
            <w:r>
              <w:t xml:space="preserve">Live operation of the new banking platform, data collection.</w:t>
            </w:r>
          </w:p>
        </w:tc>
      </w:tr>
      <w:tr>
        <w:tc>
          <w:tcPr/>
          <w:p>
            <w:pPr>
              <w:pStyle w:val="Compact"/>
              <w:jc w:val="left"/>
            </w:pPr>
            <w:r>
              <w:t xml:space="preserve">Phase 3: Evaluation</w:t>
            </w:r>
          </w:p>
        </w:tc>
        <w:tc>
          <w:tcPr/>
          <w:p>
            <w:pPr>
              <w:pStyle w:val="Compact"/>
              <w:jc w:val="left"/>
            </w:pPr>
            <w:r>
              <w:t xml:space="preserve">1 month</w:t>
            </w:r>
          </w:p>
        </w:tc>
        <w:tc>
          <w:tcPr/>
          <w:p>
            <w:pPr>
              <w:pStyle w:val="Compact"/>
              <w:jc w:val="left"/>
            </w:pPr>
            <w:r>
              <w:t xml:space="preserve">Data analysis, reporting, and recommendations.</w:t>
            </w:r>
          </w:p>
        </w:tc>
      </w:tr>
    </w:tbl>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Customer surveys and interviews.</w:t>
      </w:r>
    </w:p>
    <w:p>
      <w:pPr>
        <w:numPr>
          <w:ilvl w:val="0"/>
          <w:numId w:val="1003"/>
        </w:numPr>
        <w:pStyle w:val="Compact"/>
      </w:pPr>
      <w:r>
        <w:t xml:space="preserve">Transaction logs and system performance metrics.</w:t>
      </w:r>
    </w:p>
    <w:p>
      <w:pPr>
        <w:numPr>
          <w:ilvl w:val="0"/>
          <w:numId w:val="1003"/>
        </w:numPr>
        <w:pStyle w:val="Compact"/>
      </w:pPr>
      <w:r>
        <w:t xml:space="preserve">Staff feedback and operational reports.</w:t>
      </w:r>
    </w:p>
    <w:p>
      <w:pPr>
        <w:numPr>
          <w:ilvl w:val="0"/>
          <w:numId w:val="1003"/>
        </w:numPr>
        <w:pStyle w:val="Compact"/>
      </w:pPr>
      <w:r>
        <w:t xml:space="preserve">Regulatory compliance audits.</w:t>
      </w:r>
    </w:p>
    <w:bookmarkEnd w:id="26"/>
    <w:bookmarkEnd w:id="27"/>
    <w:bookmarkStart w:id="28" w:name="ethical-considerations"/>
    <w:p>
      <w:pPr>
        <w:pStyle w:val="Heading2"/>
      </w:pPr>
      <w:r>
        <w:t xml:space="preserve">5. Ethical Considerations</w:t>
      </w:r>
    </w:p>
    <w:p>
      <w:pPr>
        <w:pStyle w:val="FirstParagraph"/>
      </w:pPr>
      <w:r>
        <w:t xml:space="preserve">The experiment will adhere to the highest ethical standards, ensuring:</w:t>
      </w:r>
    </w:p>
    <w:p>
      <w:pPr>
        <w:numPr>
          <w:ilvl w:val="0"/>
          <w:numId w:val="1004"/>
        </w:numPr>
        <w:pStyle w:val="Compact"/>
      </w:pPr>
      <w:r>
        <w:t xml:space="preserve">Informed consent from all participants.</w:t>
      </w:r>
    </w:p>
    <w:p>
      <w:pPr>
        <w:numPr>
          <w:ilvl w:val="0"/>
          <w:numId w:val="1004"/>
        </w:numPr>
        <w:pStyle w:val="Compact"/>
      </w:pPr>
      <w:r>
        <w:t xml:space="preserve">Confidentiality and protection of personal data in accordance with Russian law.</w:t>
      </w:r>
    </w:p>
    <w:p>
      <w:pPr>
        <w:numPr>
          <w:ilvl w:val="0"/>
          <w:numId w:val="1004"/>
        </w:numPr>
        <w:pStyle w:val="Compact"/>
      </w:pPr>
      <w:r>
        <w:t xml:space="preserve">Voluntary participation with the right to withdraw at any time.</w:t>
      </w:r>
    </w:p>
    <w:p>
      <w:pPr>
        <w:numPr>
          <w:ilvl w:val="0"/>
          <w:numId w:val="1004"/>
        </w:numPr>
        <w:pStyle w:val="Compact"/>
      </w:pPr>
      <w:r>
        <w:t xml:space="preserve">Equitable treatment of all participants.</w:t>
      </w:r>
    </w:p>
    <w:bookmarkEnd w:id="28"/>
    <w:bookmarkStart w:id="29" w:name="risk-management"/>
    <w:p>
      <w:pPr>
        <w:pStyle w:val="Heading2"/>
      </w:pPr>
      <w:r>
        <w:t xml:space="preserve">6. Risk Management</w:t>
      </w:r>
    </w:p>
    <w:p>
      <w:pPr>
        <w:pStyle w:val="FirstParagraph"/>
      </w:pPr>
      <w:r>
        <w:t xml:space="preserve">Potential risks and mitigation strategies include:</w:t>
      </w:r>
    </w:p>
    <w:p>
      <w:pPr>
        <w:numPr>
          <w:ilvl w:val="0"/>
          <w:numId w:val="1005"/>
        </w:numPr>
        <w:pStyle w:val="Compact"/>
      </w:pPr>
      <w:r>
        <w:rPr>
          <w:bCs/>
          <w:b/>
        </w:rPr>
        <w:t xml:space="preserve">Technical Failures:</w:t>
      </w:r>
      <w:r>
        <w:t xml:space="preserve"> </w:t>
      </w:r>
      <w:r>
        <w:t xml:space="preserve">Regular system testing and backup plans.</w:t>
      </w:r>
    </w:p>
    <w:p>
      <w:pPr>
        <w:numPr>
          <w:ilvl w:val="0"/>
          <w:numId w:val="1005"/>
        </w:numPr>
        <w:pStyle w:val="Compact"/>
      </w:pPr>
      <w:r>
        <w:rPr>
          <w:bCs/>
          <w:b/>
        </w:rPr>
        <w:t xml:space="preserve">Customer Resistance:</w:t>
      </w:r>
      <w:r>
        <w:t xml:space="preserve"> </w:t>
      </w:r>
      <w:r>
        <w:t xml:space="preserve">Comprehensive communication and support.</w:t>
      </w:r>
    </w:p>
    <w:p>
      <w:pPr>
        <w:numPr>
          <w:ilvl w:val="0"/>
          <w:numId w:val="1005"/>
        </w:numPr>
        <w:pStyle w:val="Compact"/>
      </w:pPr>
      <w:r>
        <w:rPr>
          <w:bCs/>
          <w:b/>
        </w:rPr>
        <w:t xml:space="preserve">Regulatory Issues:</w:t>
      </w:r>
      <w:r>
        <w:t xml:space="preserve"> </w:t>
      </w:r>
      <w:r>
        <w:t xml:space="preserve">Continuous monitoring and consultation with legal experts.</w:t>
      </w:r>
    </w:p>
    <w:p>
      <w:pPr>
        <w:numPr>
          <w:ilvl w:val="0"/>
          <w:numId w:val="1005"/>
        </w:numPr>
        <w:pStyle w:val="Compact"/>
      </w:pPr>
      <w:r>
        <w:rPr>
          <w:bCs/>
          <w:b/>
        </w:rPr>
        <w:t xml:space="preserve">Data Breaches:</w:t>
      </w:r>
      <w:r>
        <w:t xml:space="preserve"> </w:t>
      </w:r>
      <w:r>
        <w:t xml:space="preserve">Implementation of robust cybersecurity measures.</w:t>
      </w:r>
    </w:p>
    <w:bookmarkEnd w:id="29"/>
    <w:bookmarkStart w:id="30" w:name="expected-outcomes"/>
    <w:p>
      <w:pPr>
        <w:pStyle w:val="Heading2"/>
      </w:pPr>
      <w:r>
        <w:t xml:space="preserve">7. Expected Outcomes</w:t>
      </w:r>
    </w:p>
    <w:p>
      <w:pPr>
        <w:pStyle w:val="FirstParagraph"/>
      </w:pPr>
      <w:r>
        <w:t xml:space="preserve">The "Banker" experiment is expected to yield:</w:t>
      </w:r>
    </w:p>
    <w:p>
      <w:pPr>
        <w:numPr>
          <w:ilvl w:val="0"/>
          <w:numId w:val="1006"/>
        </w:numPr>
        <w:pStyle w:val="Compact"/>
      </w:pPr>
      <w:r>
        <w:t xml:space="preserve">Improved customer satisfaction scores.</w:t>
      </w:r>
    </w:p>
    <w:p>
      <w:pPr>
        <w:numPr>
          <w:ilvl w:val="0"/>
          <w:numId w:val="1006"/>
        </w:numPr>
        <w:pStyle w:val="Compact"/>
      </w:pPr>
      <w:r>
        <w:t xml:space="preserve">Reduced transaction processing times.</w:t>
      </w:r>
    </w:p>
    <w:p>
      <w:pPr>
        <w:numPr>
          <w:ilvl w:val="0"/>
          <w:numId w:val="1006"/>
        </w:numPr>
        <w:pStyle w:val="Compact"/>
      </w:pPr>
      <w:r>
        <w:t xml:space="preserve">Enhanced security and trust in digital banking services.</w:t>
      </w:r>
    </w:p>
    <w:p>
      <w:pPr>
        <w:numPr>
          <w:ilvl w:val="0"/>
          <w:numId w:val="1006"/>
        </w:numPr>
        <w:pStyle w:val="Compact"/>
      </w:pPr>
      <w:r>
        <w:t xml:space="preserve">Valuable insights for future banking innovations in Russia.</w:t>
      </w:r>
    </w:p>
    <w:bookmarkEnd w:id="30"/>
    <w:bookmarkStart w:id="31" w:name="conclusion"/>
    <w:p>
      <w:pPr>
        <w:pStyle w:val="Heading2"/>
      </w:pPr>
      <w:r>
        <w:t xml:space="preserve">8. Conclusion</w:t>
      </w:r>
    </w:p>
    <w:p>
      <w:pPr>
        <w:pStyle w:val="FirstParagraph"/>
      </w:pPr>
      <w:r>
        <w:t xml:space="preserve">This Experiment Protocol for the "Banker" project in Saint Petersburg, Russia, provides a comprehensive framework for testing and evaluating a new banking service model. By focusing on customer-centric innovation, operational efficiency, and regulatory compliance, the experiment aims to contribute to the advancement of the banking sector in Russia.</w:t>
      </w:r>
    </w:p>
    <w:bookmarkEnd w:id="31"/>
    <w:bookmarkStart w:id="32" w:name="appendices"/>
    <w:p>
      <w:pPr>
        <w:pStyle w:val="Heading2"/>
      </w:pPr>
      <w:r>
        <w:t xml:space="preserve">9. Appendices</w:t>
      </w:r>
    </w:p>
    <w:p>
      <w:pPr>
        <w:numPr>
          <w:ilvl w:val="0"/>
          <w:numId w:val="1007"/>
        </w:numPr>
        <w:pStyle w:val="Compact"/>
      </w:pPr>
      <w:r>
        <w:t xml:space="preserve">Appendix A: Detailed Survey Questionnaire</w:t>
      </w:r>
    </w:p>
    <w:p>
      <w:pPr>
        <w:numPr>
          <w:ilvl w:val="0"/>
          <w:numId w:val="1007"/>
        </w:numPr>
        <w:pStyle w:val="Compact"/>
      </w:pPr>
      <w:r>
        <w:t xml:space="preserve">Appendix B: Technical Specifications of the Banking Platform</w:t>
      </w:r>
    </w:p>
    <w:p>
      <w:pPr>
        <w:numPr>
          <w:ilvl w:val="0"/>
          <w:numId w:val="1007"/>
        </w:numPr>
        <w:pStyle w:val="Compact"/>
      </w:pPr>
      <w:r>
        <w:t xml:space="preserve">Appendix C: Regulatory Compliance Checklist</w:t>
      </w:r>
    </w:p>
    <w:p>
      <w:pPr>
        <w:numPr>
          <w:ilvl w:val="0"/>
          <w:numId w:val="1007"/>
        </w:numPr>
        <w:pStyle w:val="Compact"/>
      </w:pPr>
      <w:r>
        <w:t xml:space="preserve">Appendix D: Contact Information for Project Team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Saint Petersburg</dc:title>
  <dc:creator/>
  <dc:language>en</dc:language>
  <cp:keywords/>
  <dcterms:created xsi:type="dcterms:W3CDTF">2026-10-10T02:02:11Z</dcterms:created>
  <dcterms:modified xsi:type="dcterms:W3CDTF">2026-10-10T02:02:11Z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