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Saudi</w:t>
      </w:r>
      <w:r>
        <w:t xml:space="preserve"> </w:t>
      </w:r>
      <w:r>
        <w:t xml:space="preserve">Arabia</w:t>
      </w:r>
      <w:r>
        <w:t xml:space="preserve"> </w:t>
      </w:r>
      <w:r>
        <w:t xml:space="preserve">Jeddah</w:t>
      </w:r>
    </w:p>
    <w:bookmarkStart w:id="36" w:name="X11db74e53ce4b90f8b165a890feac45786b3b30"/>
    <w:p>
      <w:pPr>
        <w:pStyle w:val="Heading1"/>
      </w:pPr>
      <w:r>
        <w:t xml:space="preserve">Experiment Protocol: Banker Role Simulation in Saudi Arabia Jeddah</w:t>
      </w:r>
    </w:p>
    <w:bookmarkStart w:id="20" w:name="introduction-and-background"/>
    <w:p>
      <w:pPr>
        <w:pStyle w:val="Heading2"/>
      </w:pPr>
      <w:r>
        <w:t xml:space="preserve">1. Introduction and Background</w:t>
      </w:r>
    </w:p>
    <w:p>
      <w:pPr>
        <w:pStyle w:val="FirstParagraph"/>
      </w:pPr>
      <w:r>
        <w:t xml:space="preserve">This Experiment Protocol outlines the methodology for conducting a controlled simulation involving the role of a Banker within the financial ecosystem of Saudi Arabia Jeddah. The study aims to evaluate decision-making processes, risk assessment capabilities, and regulatory compliance adherence under simulated market conditions reflective of the current economic landscape in Jeddah.</w:t>
      </w:r>
    </w:p>
    <w:p>
      <w:pPr>
        <w:pStyle w:val="BodyText"/>
      </w:pPr>
      <w:r>
        <w:t xml:space="preserve">As a major commercial hub in Saudi Arabia, Jeddah presents unique challenges and opportunities for banking professionals. This experiment seeks to understand how Bankers navigate these complexities while adhering to local regulations and international standards.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decision-making efficiency of Bankers in Saudi Arabia Jeddah under varying economic scenarios.</w:t>
      </w:r>
    </w:p>
    <w:p>
      <w:pPr>
        <w:numPr>
          <w:ilvl w:val="0"/>
          <w:numId w:val="1001"/>
        </w:numPr>
        <w:pStyle w:val="Compact"/>
      </w:pPr>
      <w:r>
        <w:t xml:space="preserve">To evaluate compliance with Saudi Arabian Monetary Authority (SAMA) regulations during simulated transactions.</w:t>
      </w:r>
    </w:p>
    <w:p>
      <w:pPr>
        <w:numPr>
          <w:ilvl w:val="0"/>
          <w:numId w:val="1001"/>
        </w:numPr>
        <w:pStyle w:val="Compact"/>
      </w:pPr>
      <w:r>
        <w:t xml:space="preserve">To identify potential gaps in risk management practices among Bankers operating in Jeddah.</w:t>
      </w:r>
    </w:p>
    <w:p>
      <w:pPr>
        <w:numPr>
          <w:ilvl w:val="0"/>
          <w:numId w:val="1001"/>
        </w:numPr>
        <w:pStyle w:val="Compact"/>
      </w:pPr>
      <w:r>
        <w:t xml:space="preserve">To develop recommendations for enhancing training programs for Bankers in Saudi Arabia.</w:t>
      </w:r>
    </w:p>
    <w:bookmarkEnd w:id="21"/>
    <w:bookmarkStart w:id="22" w:name="scope-and-context"/>
    <w:p>
      <w:pPr>
        <w:pStyle w:val="Heading2"/>
      </w:pPr>
      <w:r>
        <w:t xml:space="preserve">3. Scope and Context</w:t>
      </w:r>
    </w:p>
    <w:p>
      <w:pPr>
        <w:pStyle w:val="FirstParagraph"/>
      </w:pPr>
      <w:r>
        <w:rPr>
          <w:bCs/>
          <w:b/>
        </w:rPr>
        <w:t xml:space="preserve">Geographic Focus:</w:t>
      </w:r>
      <w:r>
        <w:t xml:space="preserve"> </w:t>
      </w:r>
      <w:r>
        <w:t xml:space="preserve">Saudi Arabia Jeddah</w:t>
      </w:r>
    </w:p>
    <w:p>
      <w:pPr>
        <w:pStyle w:val="BodyText"/>
      </w:pPr>
      <w:r>
        <w:rPr>
          <w:bCs/>
          <w:b/>
        </w:rPr>
        <w:t xml:space="preserve">Professional Role:</w:t>
      </w:r>
      <w:r>
        <w:t xml:space="preserve"> </w:t>
      </w:r>
      <w:r>
        <w:t xml:space="preserve">Banker</w:t>
      </w:r>
    </w:p>
    <w:p>
      <w:pPr>
        <w:pStyle w:val="BodyText"/>
      </w:pPr>
      <w:r>
        <w:rPr>
          <w:bCs/>
          <w:b/>
        </w:rPr>
        <w:t xml:space="preserve">Regulatory Framework:</w:t>
      </w:r>
      <w:r>
        <w:t xml:space="preserve"> </w:t>
      </w:r>
      <w:r>
        <w:t xml:space="preserve">Saudi Arabian Monetary Authority (SAMA) guidelines</w:t>
      </w:r>
    </w:p>
    <w:p>
      <w:pPr>
        <w:pStyle w:val="BodyText"/>
      </w:pPr>
      <w:r>
        <w:t xml:space="preserve">The experiment will be conducted within the context of Jeddah's financial sector, considering factors such as Vision 2030 initiatives, local market dynamics, and cultural considerations specific to Saudi Arabia. All scenarios will reflect realistic conditions faced by Bankers in this region.</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be selected from licensed Bankers currently employed in financial institutions across Saudi Arabia Jeddah. Selection criteria include:</w:t>
      </w:r>
    </w:p>
    <w:p>
      <w:pPr>
        <w:numPr>
          <w:ilvl w:val="0"/>
          <w:numId w:val="1002"/>
        </w:numPr>
        <w:pStyle w:val="Compact"/>
      </w:pPr>
      <w:r>
        <w:t xml:space="preserve">Minimum of 3 years of experience as a Banker in Saudi Arabia</w:t>
      </w:r>
    </w:p>
    <w:p>
      <w:pPr>
        <w:numPr>
          <w:ilvl w:val="0"/>
          <w:numId w:val="1002"/>
        </w:numPr>
        <w:pStyle w:val="Compact"/>
      </w:pPr>
      <w:r>
        <w:t xml:space="preserve">Current employment in Jeddah-based financial institutions</w:t>
      </w:r>
    </w:p>
    <w:p>
      <w:pPr>
        <w:numPr>
          <w:ilvl w:val="0"/>
          <w:numId w:val="1002"/>
        </w:numPr>
        <w:pStyle w:val="Compact"/>
      </w:pPr>
      <w:r>
        <w:t xml:space="preserve">Valid professional certifications recognized by SAMA</w:t>
      </w:r>
    </w:p>
    <w:p>
      <w:pPr>
        <w:numPr>
          <w:ilvl w:val="0"/>
          <w:numId w:val="1002"/>
        </w:numPr>
        <w:pStyle w:val="Compact"/>
      </w:pPr>
      <w:r>
        <w:t xml:space="preserve">Willingness to participate in the Experiment Protocol</w:t>
      </w:r>
    </w:p>
    <w:bookmarkEnd w:id="23"/>
    <w:bookmarkStart w:id="24" w:name="experimental-design"/>
    <w:p>
      <w:pPr>
        <w:pStyle w:val="Heading3"/>
      </w:pPr>
      <w:r>
        <w:t xml:space="preserve">4.2 Experimental Design</w:t>
      </w:r>
    </w:p>
    <w:p>
      <w:pPr>
        <w:pStyle w:val="FirstParagraph"/>
      </w:pPr>
      <w:r>
        <w:t xml:space="preserve">The experiment will utilize a scenario-based simulation approach where Bankers will be presented with various financial situations typical of operations in Saudi Arabia Jeddah. Each scenario will require participants to make decisions regarding:</w:t>
      </w:r>
    </w:p>
    <w:p>
      <w:pPr>
        <w:numPr>
          <w:ilvl w:val="0"/>
          <w:numId w:val="1003"/>
        </w:numPr>
        <w:pStyle w:val="Compact"/>
      </w:pPr>
      <w:r>
        <w:t xml:space="preserve">Loan approval processes</w:t>
      </w:r>
    </w:p>
    <w:p>
      <w:pPr>
        <w:numPr>
          <w:ilvl w:val="0"/>
          <w:numId w:val="1003"/>
        </w:numPr>
        <w:pStyle w:val="Compact"/>
      </w:pPr>
      <w:r>
        <w:t xml:space="preserve">Risk assessment and mitigation strategies</w:t>
      </w:r>
    </w:p>
    <w:p>
      <w:pPr>
        <w:numPr>
          <w:ilvl w:val="0"/>
          <w:numId w:val="1003"/>
        </w:numPr>
        <w:pStyle w:val="Compact"/>
      </w:pPr>
      <w:r>
        <w:t xml:space="preserve">Regulatory compliance decisions</w:t>
      </w:r>
    </w:p>
    <w:p>
      <w:pPr>
        <w:numPr>
          <w:ilvl w:val="0"/>
          <w:numId w:val="1003"/>
        </w:numPr>
        <w:pStyle w:val="Compact"/>
      </w:pPr>
      <w:r>
        <w:t xml:space="preserve">Customer relationship management</w:t>
      </w:r>
    </w:p>
    <w:p>
      <w:pPr>
        <w:numPr>
          <w:ilvl w:val="0"/>
          <w:numId w:val="1003"/>
        </w:numPr>
        <w:pStyle w:val="Compact"/>
      </w:pPr>
      <w:r>
        <w:t xml:space="preserve">Investment portfolio recommendations</w:t>
      </w:r>
    </w:p>
    <w:bookmarkEnd w:id="24"/>
    <w:bookmarkStart w:id="25" w:name="data-collection-methods"/>
    <w:p>
      <w:pPr>
        <w:pStyle w:val="Heading3"/>
      </w:pPr>
      <w:r>
        <w:t xml:space="preserve">4.3 Data Collection Methods</w:t>
      </w:r>
    </w:p>
    <w:p>
      <w:pPr>
        <w:pStyle w:val="FirstParagraph"/>
      </w:pPr>
      <w:r>
        <w:t xml:space="preserve">Data will be collected through multiple channels to ensure comprehensive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w:t>
            </w:r>
          </w:p>
        </w:tc>
        <w:tc>
          <w:tcPr/>
          <w:p>
            <w:pPr>
              <w:pStyle w:val="Compact"/>
              <w:jc w:val="left"/>
            </w:pPr>
            <w:r>
              <w:t xml:space="preserve">Description</w:t>
            </w:r>
          </w:p>
        </w:tc>
        <w:tc>
          <w:tcPr/>
          <w:p>
            <w:pPr>
              <w:pStyle w:val="Compact"/>
              <w:jc w:val="left"/>
            </w:pPr>
            <w:r>
              <w:t xml:space="preserve">Purpose</w:t>
            </w:r>
          </w:p>
        </w:tc>
      </w:tr>
      <w:tr>
        <w:tc>
          <w:tcPr/>
          <w:p>
            <w:pPr>
              <w:pStyle w:val="Compact"/>
              <w:jc w:val="left"/>
            </w:pPr>
            <w:r>
              <w:t xml:space="preserve">Decision Logs</w:t>
            </w:r>
          </w:p>
        </w:tc>
        <w:tc>
          <w:tcPr/>
          <w:p>
            <w:pPr>
              <w:pStyle w:val="Compact"/>
              <w:jc w:val="left"/>
            </w:pPr>
            <w:r>
              <w:t xml:space="preserve">Recorded choices made by Bankers during simulations</w:t>
            </w:r>
          </w:p>
        </w:tc>
        <w:tc>
          <w:tcPr/>
          <w:p>
            <w:pPr>
              <w:pStyle w:val="Compact"/>
              <w:jc w:val="left"/>
            </w:pPr>
            <w:r>
              <w:t xml:space="preserve">Analyze decision-making patterns</w:t>
            </w:r>
          </w:p>
        </w:tc>
      </w:tr>
      <w:tr>
        <w:tc>
          <w:tcPr/>
          <w:p>
            <w:pPr>
              <w:pStyle w:val="Compact"/>
              <w:jc w:val="left"/>
            </w:pPr>
            <w:r>
              <w:t xml:space="preserve">Time Tracking</w:t>
            </w:r>
          </w:p>
        </w:tc>
        <w:tc>
          <w:tcPr/>
          <w:p>
            <w:pPr>
              <w:pStyle w:val="Compact"/>
              <w:jc w:val="left"/>
            </w:pPr>
            <w:r>
              <w:t xml:space="preserve">Duration taken to complete each scenario</w:t>
            </w:r>
          </w:p>
        </w:tc>
        <w:tc>
          <w:tcPr/>
          <w:p>
            <w:pPr>
              <w:pStyle w:val="Compact"/>
              <w:jc w:val="left"/>
            </w:pPr>
            <w:r>
              <w:t xml:space="preserve">Measure efficiency and confidence levels</w:t>
            </w:r>
          </w:p>
        </w:tc>
      </w:tr>
      <w:tr>
        <w:tc>
          <w:tcPr/>
          <w:p>
            <w:pPr>
              <w:pStyle w:val="Compact"/>
              <w:jc w:val="left"/>
            </w:pPr>
            <w:r>
              <w:t xml:space="preserve">Post-Scenario Interviews</w:t>
            </w:r>
          </w:p>
        </w:tc>
        <w:tc>
          <w:tcPr/>
          <w:p>
            <w:pPr>
              <w:pStyle w:val="Compact"/>
              <w:jc w:val="left"/>
            </w:pPr>
            <w:r>
              <w:t xml:space="preserve">Semi-structured interviews with participants</w:t>
            </w:r>
          </w:p>
        </w:tc>
        <w:tc>
          <w:tcPr/>
          <w:p>
            <w:pPr>
              <w:pStyle w:val="Compact"/>
              <w:jc w:val="left"/>
            </w:pPr>
            <w:r>
              <w:t xml:space="preserve">Understand reasoning behind decisions</w:t>
            </w:r>
          </w:p>
        </w:tc>
      </w:tr>
      <w:tr>
        <w:tc>
          <w:tcPr/>
          <w:p>
            <w:pPr>
              <w:pStyle w:val="Compact"/>
              <w:jc w:val="left"/>
            </w:pPr>
            <w:r>
              <w:t xml:space="preserve">Compliance Checks</w:t>
            </w:r>
          </w:p>
        </w:tc>
        <w:tc>
          <w:tcPr/>
          <w:p>
            <w:pPr>
              <w:pStyle w:val="Compact"/>
              <w:jc w:val="left"/>
            </w:pPr>
            <w:r>
              <w:t xml:space="preserve">Review of decisions against SAMA regulations</w:t>
            </w:r>
          </w:p>
        </w:tc>
        <w:tc>
          <w:tcPr/>
          <w:p>
            <w:pPr>
              <w:pStyle w:val="Compact"/>
              <w:jc w:val="left"/>
            </w:pPr>
            <w:r>
              <w:t xml:space="preserve">Assess regulatory adherence</w:t>
            </w:r>
          </w:p>
        </w:tc>
      </w:tr>
    </w:tbl>
    <w:bookmarkEnd w:id="25"/>
    <w:bookmarkEnd w:id="26"/>
    <w:bookmarkStart w:id="30" w:name="experimental-procedures"/>
    <w:p>
      <w:pPr>
        <w:pStyle w:val="Heading2"/>
      </w:pPr>
      <w:r>
        <w:t xml:space="preserve">5. Experimental Procedures</w:t>
      </w:r>
    </w:p>
    <w:bookmarkStart w:id="27" w:name="preparation-phase"/>
    <w:p>
      <w:pPr>
        <w:pStyle w:val="Heading3"/>
      </w:pPr>
      <w:r>
        <w:t xml:space="preserve">5.1 Preparation Phase</w:t>
      </w:r>
    </w:p>
    <w:p>
      <w:pPr>
        <w:pStyle w:val="FirstParagraph"/>
      </w:pPr>
      <w:r>
        <w:t xml:space="preserve">Before commencing the Experiment Protocol, all participants will receive comprehensive briefing materials covering:</w:t>
      </w:r>
    </w:p>
    <w:p>
      <w:pPr>
        <w:numPr>
          <w:ilvl w:val="0"/>
          <w:numId w:val="1004"/>
        </w:numPr>
        <w:pStyle w:val="Compact"/>
      </w:pPr>
      <w:r>
        <w:t xml:space="preserve">Overview of the experiment objectives and procedures</w:t>
      </w:r>
    </w:p>
    <w:p>
      <w:pPr>
        <w:numPr>
          <w:ilvl w:val="0"/>
          <w:numId w:val="1004"/>
        </w:numPr>
        <w:pStyle w:val="Compact"/>
      </w:pPr>
      <w:r>
        <w:t xml:space="preserve">Current regulatory requirements in Saudi Arabia Jeddah</w:t>
      </w:r>
    </w:p>
    <w:p>
      <w:pPr>
        <w:numPr>
          <w:ilvl w:val="0"/>
          <w:numId w:val="1004"/>
        </w:numPr>
        <w:pStyle w:val="Compact"/>
      </w:pPr>
      <w:r>
        <w:t xml:space="preserve">Technical instructions for the simulation platform</w:t>
      </w:r>
    </w:p>
    <w:p>
      <w:pPr>
        <w:numPr>
          <w:ilvl w:val="0"/>
          <w:numId w:val="1004"/>
        </w:numPr>
        <w:pStyle w:val="Compact"/>
      </w:pPr>
      <w:r>
        <w:t xml:space="preserve">Confidentiality agreements and data protection measures</w:t>
      </w:r>
    </w:p>
    <w:bookmarkEnd w:id="27"/>
    <w:bookmarkStart w:id="28" w:name="simulation-execution"/>
    <w:p>
      <w:pPr>
        <w:pStyle w:val="Heading3"/>
      </w:pPr>
      <w:r>
        <w:t xml:space="preserve">5.2 Simulation Execution</w:t>
      </w:r>
    </w:p>
    <w:p>
      <w:pPr>
        <w:pStyle w:val="FirstParagraph"/>
      </w:pPr>
      <w:r>
        <w:t xml:space="preserve">Each Banker will complete a series of simulated scenarios designed to reflect real-world challenges in Saudi Arabia Jeddah. Scenarios will include:</w:t>
      </w:r>
    </w:p>
    <w:p>
      <w:pPr>
        <w:numPr>
          <w:ilvl w:val="0"/>
          <w:numId w:val="1005"/>
        </w:numPr>
        <w:pStyle w:val="Compact"/>
      </w:pPr>
      <w:r>
        <w:rPr>
          <w:bCs/>
          <w:b/>
        </w:rPr>
        <w:t xml:space="preserve">Corporate Banking Scenario:</w:t>
      </w:r>
      <w:r>
        <w:t xml:space="preserve"> </w:t>
      </w:r>
      <w:r>
        <w:t xml:space="preserve">Evaluating a large loan request from a Jeddah-based manufacturing company.</w:t>
      </w:r>
    </w:p>
    <w:p>
      <w:pPr>
        <w:numPr>
          <w:ilvl w:val="0"/>
          <w:numId w:val="1005"/>
        </w:numPr>
        <w:pStyle w:val="Compact"/>
      </w:pPr>
      <w:r>
        <w:rPr>
          <w:bCs/>
          <w:b/>
        </w:rPr>
        <w:t xml:space="preserve">Retail Banking Scenario:</w:t>
      </w:r>
      <w:r>
        <w:t xml:space="preserve"> </w:t>
      </w:r>
      <w:r>
        <w:t xml:space="preserve">Managing customer complaints and service recovery situations.</w:t>
      </w:r>
    </w:p>
    <w:p>
      <w:pPr>
        <w:numPr>
          <w:ilvl w:val="0"/>
          <w:numId w:val="1005"/>
        </w:numPr>
        <w:pStyle w:val="Compact"/>
      </w:pPr>
      <w:r>
        <w:rPr>
          <w:bCs/>
          <w:b/>
        </w:rPr>
        <w:t xml:space="preserve">Compliance Scenario:</w:t>
      </w:r>
      <w:r>
        <w:t xml:space="preserve"> </w:t>
      </w:r>
      <w:r>
        <w:t xml:space="preserve">Identifying and reporting suspicious transactions according to SAMA guidelines.</w:t>
      </w:r>
    </w:p>
    <w:p>
      <w:pPr>
        <w:numPr>
          <w:ilvl w:val="0"/>
          <w:numId w:val="1005"/>
        </w:numPr>
        <w:pStyle w:val="Compact"/>
      </w:pPr>
      <w:r>
        <w:rPr>
          <w:bCs/>
          <w:b/>
        </w:rPr>
        <w:t xml:space="preserve">Investment Scenario:</w:t>
      </w:r>
      <w:r>
        <w:t xml:space="preserve"> </w:t>
      </w:r>
      <w:r>
        <w:t xml:space="preserve">Advising clients on investment opportunities aligned with Vision 2030 initiatives.</w:t>
      </w:r>
    </w:p>
    <w:bookmarkEnd w:id="28"/>
    <w:bookmarkStart w:id="29" w:name="monitoring-and-supervision"/>
    <w:p>
      <w:pPr>
        <w:pStyle w:val="Heading3"/>
      </w:pPr>
      <w:r>
        <w:t xml:space="preserve">5.3 Monitoring and Supervision</w:t>
      </w:r>
    </w:p>
    <w:p>
      <w:pPr>
        <w:pStyle w:val="FirstParagraph"/>
      </w:pPr>
      <w:r>
        <w:t xml:space="preserve">Throughout the Experiment Protocol, trained observers will monitor participant interactions with the simulation environment. All sessions will be recorded (with consent) for subsequent analysis. Technical support will be available to address any issues with the simulation platform.</w:t>
      </w:r>
    </w:p>
    <w:bookmarkEnd w:id="29"/>
    <w:bookmarkEnd w:id="30"/>
    <w:bookmarkStart w:id="31" w:name="ethical-considerations"/>
    <w:p>
      <w:pPr>
        <w:pStyle w:val="Heading2"/>
      </w:pPr>
      <w:r>
        <w:t xml:space="preserve">6. Ethical Considerations</w:t>
      </w:r>
    </w:p>
    <w:p>
      <w:pPr>
        <w:pStyle w:val="FirstParagraph"/>
      </w:pPr>
      <w:r>
        <w:t xml:space="preserve">This Experiment Protocol adheres to strict ethical guidelines:</w:t>
      </w:r>
    </w:p>
    <w:p>
      <w:pPr>
        <w:numPr>
          <w:ilvl w:val="0"/>
          <w:numId w:val="1006"/>
        </w:numPr>
        <w:pStyle w:val="Compact"/>
      </w:pPr>
      <w:r>
        <w:t xml:space="preserve">Informed consent will be obtained from all participating Bankers</w:t>
      </w:r>
    </w:p>
    <w:p>
      <w:pPr>
        <w:numPr>
          <w:ilvl w:val="0"/>
          <w:numId w:val="1006"/>
        </w:numPr>
        <w:pStyle w:val="Compact"/>
      </w:pPr>
      <w:r>
        <w:t xml:space="preserve">Participant anonymity will be maintained throughout the study</w:t>
      </w:r>
    </w:p>
    <w:p>
      <w:pPr>
        <w:numPr>
          <w:ilvl w:val="0"/>
          <w:numId w:val="1006"/>
        </w:numPr>
        <w:pStyle w:val="Compact"/>
      </w:pPr>
      <w:r>
        <w:t xml:space="preserve">Data will be stored securely in compliance with Saudi Arabia's data protection regulations</w:t>
      </w:r>
    </w:p>
    <w:p>
      <w:pPr>
        <w:numPr>
          <w:ilvl w:val="0"/>
          <w:numId w:val="1006"/>
        </w:numPr>
        <w:pStyle w:val="Compact"/>
      </w:pPr>
      <w:r>
        <w:t xml:space="preserve">Participants may withdraw from the experiment at any time without penalty</w:t>
      </w:r>
    </w:p>
    <w:p>
      <w:pPr>
        <w:numPr>
          <w:ilvl w:val="0"/>
          <w:numId w:val="1006"/>
        </w:numPr>
        <w:pStyle w:val="Compact"/>
      </w:pPr>
      <w:r>
        <w:t xml:space="preserve">Results will be reported in aggregate form to protect individual identities</w:t>
      </w:r>
    </w:p>
    <w:bookmarkEnd w:id="31"/>
    <w:bookmarkStart w:id="32" w:name="data-analysis"/>
    <w:p>
      <w:pPr>
        <w:pStyle w:val="Heading2"/>
      </w:pPr>
      <w:r>
        <w:t xml:space="preserve">7. Data Analysis</w:t>
      </w:r>
    </w:p>
    <w:p>
      <w:pPr>
        <w:pStyle w:val="FirstParagraph"/>
      </w:pPr>
      <w:r>
        <w:t xml:space="preserve">Collected data will be analyzed using both quantitative and qualitative methods:</w:t>
      </w:r>
    </w:p>
    <w:p>
      <w:pPr>
        <w:numPr>
          <w:ilvl w:val="0"/>
          <w:numId w:val="1007"/>
        </w:numPr>
        <w:pStyle w:val="Compact"/>
      </w:pPr>
      <w:r>
        <w:t xml:space="preserve">Statistical analysis of decision patterns and response times</w:t>
      </w:r>
    </w:p>
    <w:p>
      <w:pPr>
        <w:numPr>
          <w:ilvl w:val="0"/>
          <w:numId w:val="1007"/>
        </w:numPr>
        <w:pStyle w:val="Compact"/>
      </w:pPr>
      <w:r>
        <w:t xml:space="preserve">Comparative analysis across different experience levels of Bankers</w:t>
      </w:r>
    </w:p>
    <w:p>
      <w:pPr>
        <w:numPr>
          <w:ilvl w:val="0"/>
          <w:numId w:val="1007"/>
        </w:numPr>
        <w:pStyle w:val="Compact"/>
      </w:pPr>
      <w:r>
        <w:t xml:space="preserve">Thematic analysis of interview responses</w:t>
      </w:r>
    </w:p>
    <w:p>
      <w:pPr>
        <w:numPr>
          <w:ilvl w:val="0"/>
          <w:numId w:val="1007"/>
        </w:numPr>
        <w:pStyle w:val="Compact"/>
      </w:pPr>
      <w:r>
        <w:t xml:space="preserve">Compliance gap analysis against SAMA requirements</w:t>
      </w:r>
    </w:p>
    <w:bookmarkEnd w:id="32"/>
    <w:bookmarkStart w:id="33" w:name="expected-outcomes"/>
    <w:p>
      <w:pPr>
        <w:pStyle w:val="Heading2"/>
      </w:pPr>
      <w:r>
        <w:t xml:space="preserve">8. Expected Outcomes</w:t>
      </w:r>
    </w:p>
    <w:p>
      <w:pPr>
        <w:pStyle w:val="FirstParagraph"/>
      </w:pPr>
      <w:r>
        <w:t xml:space="preserve">This Experiment Protocol aims to produce actionable insights regarding:</w:t>
      </w:r>
    </w:p>
    <w:p>
      <w:pPr>
        <w:numPr>
          <w:ilvl w:val="0"/>
          <w:numId w:val="1008"/>
        </w:numPr>
        <w:pStyle w:val="Compact"/>
      </w:pPr>
      <w:r>
        <w:t xml:space="preserve">Best practices for Bankers operating in Saudi Arabia Jeddah</w:t>
      </w:r>
    </w:p>
    <w:p>
      <w:pPr>
        <w:numPr>
          <w:ilvl w:val="0"/>
          <w:numId w:val="1008"/>
        </w:numPr>
        <w:pStyle w:val="Compact"/>
      </w:pPr>
      <w:r>
        <w:t xml:space="preserve">Areas requiring enhanced training or regulatory guidance</w:t>
      </w:r>
    </w:p>
    <w:p>
      <w:pPr>
        <w:numPr>
          <w:ilvl w:val="0"/>
          <w:numId w:val="1008"/>
        </w:numPr>
        <w:pStyle w:val="Compact"/>
      </w:pPr>
      <w:r>
        <w:t xml:space="preserve">Recommendations for improving banking services in the region</w:t>
      </w:r>
    </w:p>
    <w:p>
      <w:pPr>
        <w:numPr>
          <w:ilvl w:val="0"/>
          <w:numId w:val="1008"/>
        </w:numPr>
        <w:pStyle w:val="Compact"/>
      </w:pPr>
      <w:r>
        <w:t xml:space="preserve">Contributions to the broader understanding of banking practices in Saudi Arabia</w:t>
      </w:r>
    </w:p>
    <w:bookmarkEnd w:id="33"/>
    <w:bookmarkStart w:id="34" w:name="timeline"/>
    <w:p>
      <w:pPr>
        <w:pStyle w:val="Heading2"/>
      </w:pPr>
      <w:r>
        <w:t xml:space="preserve">9. Timeline</w:t>
      </w:r>
    </w:p>
    <w:p>
      <w:pPr>
        <w:pStyle w:val="FirstParagraph"/>
      </w:pPr>
      <w:r>
        <w:t xml:space="preserve">The Experiment Protocol will be executed over a period of 12 weeks:</w:t>
      </w:r>
    </w:p>
    <w:p>
      <w:pPr>
        <w:numPr>
          <w:ilvl w:val="0"/>
          <w:numId w:val="1009"/>
        </w:numPr>
        <w:pStyle w:val="Compact"/>
      </w:pPr>
      <w:r>
        <w:t xml:space="preserve">Weeks 1-2: Participant recruitment and preparation</w:t>
      </w:r>
    </w:p>
    <w:p>
      <w:pPr>
        <w:numPr>
          <w:ilvl w:val="0"/>
          <w:numId w:val="1009"/>
        </w:numPr>
        <w:pStyle w:val="Compact"/>
      </w:pPr>
      <w:r>
        <w:t xml:space="preserve">Weeks 3-8: Simulation execution and data collection</w:t>
      </w:r>
    </w:p>
    <w:p>
      <w:pPr>
        <w:numPr>
          <w:ilvl w:val="0"/>
          <w:numId w:val="1009"/>
        </w:numPr>
        <w:pStyle w:val="Compact"/>
      </w:pPr>
      <w:r>
        <w:t xml:space="preserve">Weeks 9-10: Data analysis</w:t>
      </w:r>
    </w:p>
    <w:p>
      <w:pPr>
        <w:numPr>
          <w:ilvl w:val="0"/>
          <w:numId w:val="1009"/>
        </w:numPr>
        <w:pStyle w:val="Compact"/>
      </w:pPr>
      <w:r>
        <w:t xml:space="preserve">Weeks 11-12: Report preparation and dissemination</w:t>
      </w:r>
    </w:p>
    <w:bookmarkEnd w:id="34"/>
    <w:bookmarkStart w:id="35" w:name="conclusion"/>
    <w:p>
      <w:pPr>
        <w:pStyle w:val="Heading2"/>
      </w:pPr>
      <w:r>
        <w:t xml:space="preserve">10. Conclusion</w:t>
      </w:r>
    </w:p>
    <w:p>
      <w:pPr>
        <w:pStyle w:val="FirstParagraph"/>
      </w:pPr>
      <w:r>
        <w:t xml:space="preserve">This Experiment Protocol provides a structured approach to studying the role of Bankers in Saudi Arabia Jeddah. By simulating realistic scenarios and analyzing decision-making processes, this study will contribute valuable insights to the banking sector in Saudi Arabia while maintaining the highest standards of research integrity and ethical conduct.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Saudi Arabia Jeddah</dc:title>
  <dc:creator/>
  <dc:language>en</dc:language>
  <cp:keywords/>
  <dcterms:created xsi:type="dcterms:W3CDTF">2026-10-10T02:57:16Z</dcterms:created>
  <dcterms:modified xsi:type="dcterms:W3CDTF">2026-10-10T02:57:16Z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