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Spain</w:t>
      </w:r>
      <w:r>
        <w:t xml:space="preserve"> </w:t>
      </w:r>
      <w:r>
        <w:t xml:space="preserve">Madrid</w:t>
      </w:r>
    </w:p>
    <w:bookmarkStart w:id="20" w:name="Xa7e30007daf443b98ee7593933eb0c051120149"/>
    <w:p>
      <w:pPr>
        <w:pStyle w:val="Heading1"/>
      </w:pPr>
      <w:r>
        <w:t xml:space="preserve">Experiment Protocol: Banker Role Simulation in Spain Madrid</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Madrid, Spain</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procedures for conducting a controlled study on the decision-making processes of bankers operating within the financial sector of Madrid, Spain. The primary objective is to understand how cultural, regulatory, and economic factors influence banking practices in this specific geographic and socio-economic context.</w:t>
      </w:r>
    </w:p>
    <w:p>
      <w:pPr>
        <w:pStyle w:val="BodyText"/>
      </w:pPr>
      <w:r>
        <w:t xml:space="preserve">The term "Banker" in this protocol refers to individuals who hold positions in commercial, investment, or retail banking institutions in Madrid. These professionals are responsible for managing financial transactions, assessing risks, and providing financial advice to clients. The study aims to explore their behaviors, strategies, and ethical considerations in a real-world setting.</w:t>
      </w:r>
    </w:p>
    <w:bookmarkEnd w:id="21"/>
    <w:bookmarkStart w:id="22" w:name="objectives"/>
    <w:p>
      <w:pPr>
        <w:pStyle w:val="Heading2"/>
      </w:pPr>
      <w:r>
        <w:t xml:space="preserve">2. Objectives</w:t>
      </w:r>
    </w:p>
    <w:p>
      <w:pPr>
        <w:pStyle w:val="FirstParagraph"/>
      </w:pPr>
      <w:r>
        <w:t xml:space="preserve">The key objectives of this experiment are as follows:</w:t>
      </w:r>
    </w:p>
    <w:p>
      <w:pPr>
        <w:numPr>
          <w:ilvl w:val="0"/>
          <w:numId w:val="1001"/>
        </w:numPr>
        <w:pStyle w:val="Compact"/>
      </w:pPr>
      <w:r>
        <w:t xml:space="preserve">To analyze the decision-making frameworks used by bankers in Madrid when evaluating loan applications.</w:t>
      </w:r>
    </w:p>
    <w:p>
      <w:pPr>
        <w:numPr>
          <w:ilvl w:val="0"/>
          <w:numId w:val="1001"/>
        </w:numPr>
        <w:pStyle w:val="Compact"/>
      </w:pPr>
      <w:r>
        <w:t xml:space="preserve">To assess the impact of Spanish banking regulations on risk management practices.</w:t>
      </w:r>
    </w:p>
    <w:p>
      <w:pPr>
        <w:numPr>
          <w:ilvl w:val="0"/>
          <w:numId w:val="1001"/>
        </w:numPr>
        <w:pStyle w:val="Compact"/>
      </w:pPr>
      <w:r>
        <w:t xml:space="preserve">To identify cultural nuances that influence client-banker interactions in Madrid.</w:t>
      </w:r>
    </w:p>
    <w:p>
      <w:pPr>
        <w:numPr>
          <w:ilvl w:val="0"/>
          <w:numId w:val="1001"/>
        </w:numPr>
        <w:pStyle w:val="Compact"/>
      </w:pPr>
      <w:r>
        <w:t xml:space="preserve">To evaluate the effectiveness of digital banking tools adopted by financial institutions in the region.</w:t>
      </w:r>
    </w:p>
    <w:bookmarkEnd w:id="22"/>
    <w:bookmarkStart w:id="26" w:name="methodology"/>
    <w:p>
      <w:pPr>
        <w:pStyle w:val="Heading2"/>
      </w:pPr>
      <w:r>
        <w:t xml:space="preserve">3. Methodology</w:t>
      </w:r>
    </w:p>
    <w:p>
      <w:pPr>
        <w:pStyle w:val="FirstParagraph"/>
      </w:pPr>
      <w:r>
        <w:t xml:space="preserve">The experiment will be conducted using a mixed-methods approach, combining quantitative data analysis with qualitative interviews. The study will take place over a period of six months, with data collection occurring in three phases.</w:t>
      </w:r>
    </w:p>
    <w:bookmarkStart w:id="23" w:name="participant-selection"/>
    <w:p>
      <w:pPr>
        <w:pStyle w:val="Heading3"/>
      </w:pPr>
      <w:r>
        <w:t xml:space="preserve">3.1 Participant Selection</w:t>
      </w:r>
    </w:p>
    <w:p>
      <w:pPr>
        <w:pStyle w:val="FirstParagraph"/>
      </w:pPr>
      <w:r>
        <w:t xml:space="preserve">Participants will include:</w:t>
      </w:r>
    </w:p>
    <w:p>
      <w:pPr>
        <w:numPr>
          <w:ilvl w:val="0"/>
          <w:numId w:val="1002"/>
        </w:numPr>
        <w:pStyle w:val="Compact"/>
      </w:pPr>
      <w:r>
        <w:t xml:space="preserve">Bankers from major financial institutions in Madrid, including both local and international banks.</w:t>
      </w:r>
    </w:p>
    <w:p>
      <w:pPr>
        <w:numPr>
          <w:ilvl w:val="0"/>
          <w:numId w:val="1002"/>
        </w:numPr>
        <w:pStyle w:val="Compact"/>
      </w:pPr>
      <w:r>
        <w:t xml:space="preserve">Client representatives who have interacted with these bankers in the past year.</w:t>
      </w:r>
    </w:p>
    <w:p>
      <w:pPr>
        <w:numPr>
          <w:ilvl w:val="0"/>
          <w:numId w:val="1002"/>
        </w:numPr>
        <w:pStyle w:val="Compact"/>
      </w:pPr>
      <w:r>
        <w:t xml:space="preserve">Regulatory experts familiar with the Spanish banking system.</w:t>
      </w:r>
    </w:p>
    <w:p>
      <w:pPr>
        <w:pStyle w:val="FirstParagraph"/>
      </w:pPr>
      <w:r>
        <w:t xml:space="preserve">A total of 150 participants will be recruited, ensuring diversity in terms of age, gender, and professional experience.</w:t>
      </w:r>
    </w:p>
    <w:bookmarkEnd w:id="23"/>
    <w:bookmarkStart w:id="24" w:name="data-collection"/>
    <w:p>
      <w:pPr>
        <w:pStyle w:val="Heading3"/>
      </w:pPr>
      <w:r>
        <w:t xml:space="preserve">3.2 Data Collection</w:t>
      </w:r>
    </w:p>
    <w:p>
      <w:pPr>
        <w:pStyle w:val="FirstParagraph"/>
      </w:pPr>
      <w:r>
        <w:t xml:space="preserve">Data will be collected through the following methods:</w:t>
      </w:r>
    </w:p>
    <w:p>
      <w:pPr>
        <w:numPr>
          <w:ilvl w:val="0"/>
          <w:numId w:val="1003"/>
        </w:numPr>
        <w:pStyle w:val="Compact"/>
      </w:pPr>
      <w:r>
        <w:rPr>
          <w:bCs/>
          <w:b/>
        </w:rPr>
        <w:t xml:space="preserve">Surveys:</w:t>
      </w:r>
      <w:r>
        <w:t xml:space="preserve"> </w:t>
      </w:r>
      <w:r>
        <w:t xml:space="preserve">Structured questionnaires will be distributed to bankers to gather information on their decision-making processes and attitudes toward risk.</w:t>
      </w:r>
    </w:p>
    <w:p>
      <w:pPr>
        <w:numPr>
          <w:ilvl w:val="0"/>
          <w:numId w:val="1003"/>
        </w:numPr>
        <w:pStyle w:val="Compact"/>
      </w:pPr>
      <w:r>
        <w:rPr>
          <w:bCs/>
          <w:b/>
        </w:rPr>
        <w:t xml:space="preserve">Interviews:</w:t>
      </w:r>
      <w:r>
        <w:t xml:space="preserve"> </w:t>
      </w:r>
      <w:r>
        <w:t xml:space="preserve">Semi-structured interviews will be conducted with a subset of participants to gain deeper insights into their experiences.</w:t>
      </w:r>
    </w:p>
    <w:p>
      <w:pPr>
        <w:numPr>
          <w:ilvl w:val="0"/>
          <w:numId w:val="1003"/>
        </w:numPr>
        <w:pStyle w:val="Compact"/>
      </w:pPr>
      <w:r>
        <w:rPr>
          <w:bCs/>
          <w:b/>
        </w:rPr>
        <w:t xml:space="preserve">Case Studies:</w:t>
      </w:r>
      <w:r>
        <w:t xml:space="preserve"> </w:t>
      </w:r>
      <w:r>
        <w:t xml:space="preserve">Real-world scenarios involving loan approvals, credit assessments, and client consultations will be analyzed.</w:t>
      </w:r>
    </w:p>
    <w:bookmarkEnd w:id="24"/>
    <w:bookmarkStart w:id="25" w:name="experimental-design"/>
    <w:p>
      <w:pPr>
        <w:pStyle w:val="Heading3"/>
      </w:pPr>
      <w:r>
        <w:t xml:space="preserve">3.3 Experimental Design</w:t>
      </w:r>
    </w:p>
    <w:p>
      <w:pPr>
        <w:pStyle w:val="FirstParagraph"/>
      </w:pPr>
      <w:r>
        <w:t xml:space="preserve">The experiment will involve simulated banking scenarios where participants will be asked to make decisions based on predefined criteria. These scenarios will reflect common challenges faced by bankers in Madrid, such as:</w:t>
      </w:r>
    </w:p>
    <w:p>
      <w:pPr>
        <w:numPr>
          <w:ilvl w:val="0"/>
          <w:numId w:val="1004"/>
        </w:numPr>
        <w:pStyle w:val="Compact"/>
      </w:pPr>
      <w:r>
        <w:t xml:space="preserve">Evaluating loan applications from small and medium-sized enterprises (SMEs).</w:t>
      </w:r>
    </w:p>
    <w:p>
      <w:pPr>
        <w:numPr>
          <w:ilvl w:val="0"/>
          <w:numId w:val="1004"/>
        </w:numPr>
        <w:pStyle w:val="Compact"/>
      </w:pPr>
      <w:r>
        <w:t xml:space="preserve">Assessing the creditworthiness of individuals with limited financial history.</w:t>
      </w:r>
    </w:p>
    <w:p>
      <w:pPr>
        <w:numPr>
          <w:ilvl w:val="0"/>
          <w:numId w:val="1004"/>
        </w:numPr>
        <w:pStyle w:val="Compact"/>
      </w:pPr>
      <w:r>
        <w:t xml:space="preserve">Navigating conflicts between regulatory requirements and client expectations.</w:t>
      </w:r>
    </w:p>
    <w:bookmarkEnd w:id="25"/>
    <w:bookmarkEnd w:id="26"/>
    <w:bookmarkStart w:id="27" w:name="ethical-considerations"/>
    <w:p>
      <w:pPr>
        <w:pStyle w:val="Heading2"/>
      </w:pPr>
      <w:r>
        <w:t xml:space="preserve">4. Ethical Considerations</w:t>
      </w:r>
    </w:p>
    <w:p>
      <w:pPr>
        <w:pStyle w:val="FirstParagraph"/>
      </w:pPr>
      <w:r>
        <w:t xml:space="preserve">This study adheres to the ethical guidelines established by the Spanish Data Protection Agency (AEPD) and international research standards. Key ethical considerations include:</w:t>
      </w:r>
    </w:p>
    <w:p>
      <w:pPr>
        <w:numPr>
          <w:ilvl w:val="0"/>
          <w:numId w:val="1005"/>
        </w:numPr>
        <w:pStyle w:val="Compact"/>
      </w:pPr>
      <w:r>
        <w:rPr>
          <w:bCs/>
          <w:b/>
        </w:rPr>
        <w:t xml:space="preserve">Informed Consent:</w:t>
      </w:r>
      <w:r>
        <w:t xml:space="preserve"> </w:t>
      </w:r>
      <w:r>
        <w:t xml:space="preserve">All participants will provide written consent before participating in the study.</w:t>
      </w:r>
    </w:p>
    <w:p>
      <w:pPr>
        <w:numPr>
          <w:ilvl w:val="0"/>
          <w:numId w:val="1005"/>
        </w:numPr>
        <w:pStyle w:val="Compact"/>
      </w:pPr>
      <w:r>
        <w:rPr>
          <w:bCs/>
          <w:b/>
        </w:rPr>
        <w:t xml:space="preserve">Confidentiality:</w:t>
      </w:r>
      <w:r>
        <w:t xml:space="preserve"> </w:t>
      </w:r>
      <w:r>
        <w:t xml:space="preserve">Personal and sensitive information will be anonymized and stored securely.</w:t>
      </w:r>
    </w:p>
    <w:p>
      <w:pPr>
        <w:numPr>
          <w:ilvl w:val="0"/>
          <w:numId w:val="1005"/>
        </w:numPr>
        <w:pStyle w:val="Compact"/>
      </w:pPr>
      <w:r>
        <w:rPr>
          <w:bCs/>
          <w:b/>
        </w:rPr>
        <w:t xml:space="preserve">Voluntary Participation:</w:t>
      </w:r>
      <w:r>
        <w:t xml:space="preserve"> </w:t>
      </w:r>
      <w:r>
        <w:t xml:space="preserve">Participants will be free to withdraw from the study at any time without penalty.</w:t>
      </w:r>
    </w:p>
    <w:bookmarkEnd w:id="27"/>
    <w:bookmarkStart w:id="28" w:name="expected-outcomes"/>
    <w:p>
      <w:pPr>
        <w:pStyle w:val="Heading2"/>
      </w:pPr>
      <w:r>
        <w:t xml:space="preserve">5. Expected Outcomes</w:t>
      </w:r>
    </w:p>
    <w:p>
      <w:pPr>
        <w:pStyle w:val="FirstParagraph"/>
      </w:pPr>
      <w:r>
        <w:t xml:space="preserve">The results of this experiment are expected to provide valuable insights into the following areas:</w:t>
      </w:r>
    </w:p>
    <w:p>
      <w:pPr>
        <w:numPr>
          <w:ilvl w:val="0"/>
          <w:numId w:val="1006"/>
        </w:numPr>
        <w:pStyle w:val="Compact"/>
      </w:pPr>
      <w:r>
        <w:t xml:space="preserve">The role of cultural factors in shaping banking practices in Madrid.</w:t>
      </w:r>
    </w:p>
    <w:p>
      <w:pPr>
        <w:numPr>
          <w:ilvl w:val="0"/>
          <w:numId w:val="1006"/>
        </w:numPr>
        <w:pStyle w:val="Compact"/>
      </w:pPr>
      <w:r>
        <w:t xml:space="preserve">The effectiveness of current regulatory frameworks in promoting transparency and accountability.</w:t>
      </w:r>
    </w:p>
    <w:p>
      <w:pPr>
        <w:numPr>
          <w:ilvl w:val="0"/>
          <w:numId w:val="1006"/>
        </w:numPr>
        <w:pStyle w:val="Compact"/>
      </w:pPr>
      <w:r>
        <w:t xml:space="preserve">Best practices for enhancing client-banker relationships in a digital age.</w:t>
      </w:r>
    </w:p>
    <w:p>
      <w:pPr>
        <w:pStyle w:val="FirstParagraph"/>
      </w:pPr>
      <w:r>
        <w:t xml:space="preserve">These findings will contribute to the broader understanding of banking operations in Spain and may inform policy recommendations for improving the financial ecosystem in Madrid.</w:t>
      </w:r>
    </w:p>
    <w:bookmarkEnd w:id="28"/>
    <w:bookmarkStart w:id="29" w:name="timeline"/>
    <w:p>
      <w:pPr>
        <w:pStyle w:val="Heading2"/>
      </w:pPr>
      <w:r>
        <w:t xml:space="preserve">6. Timeline</w:t>
      </w:r>
    </w:p>
    <w:p>
      <w:pPr>
        <w:pStyle w:val="FirstParagraph"/>
      </w:pPr>
      <w:r>
        <w:t xml:space="preserve">The experiment will follow the following timeline:</w:t>
      </w:r>
    </w:p>
    <w:p>
      <w:pPr>
        <w:numPr>
          <w:ilvl w:val="0"/>
          <w:numId w:val="1007"/>
        </w:numPr>
        <w:pStyle w:val="Compact"/>
      </w:pPr>
      <w:r>
        <w:rPr>
          <w:bCs/>
          <w:b/>
        </w:rPr>
        <w:t xml:space="preserve">Month 1-2:</w:t>
      </w:r>
      <w:r>
        <w:t xml:space="preserve"> </w:t>
      </w:r>
      <w:r>
        <w:t xml:space="preserve">Recruitment of participants and preparation of materials.</w:t>
      </w:r>
    </w:p>
    <w:p>
      <w:pPr>
        <w:numPr>
          <w:ilvl w:val="0"/>
          <w:numId w:val="1007"/>
        </w:numPr>
        <w:pStyle w:val="Compact"/>
      </w:pPr>
      <w:r>
        <w:rPr>
          <w:bCs/>
          <w:b/>
        </w:rPr>
        <w:t xml:space="preserve">Month 3-4:</w:t>
      </w:r>
      <w:r>
        <w:t xml:space="preserve"> </w:t>
      </w:r>
      <w:r>
        <w:t xml:space="preserve">Data collection through surveys, interviews, and case studies.</w:t>
      </w:r>
    </w:p>
    <w:p>
      <w:pPr>
        <w:numPr>
          <w:ilvl w:val="0"/>
          <w:numId w:val="1007"/>
        </w:numPr>
        <w:pStyle w:val="Compact"/>
      </w:pPr>
      <w:r>
        <w:rPr>
          <w:bCs/>
          <w:b/>
        </w:rPr>
        <w:t xml:space="preserve">Month 5:</w:t>
      </w:r>
      <w:r>
        <w:t xml:space="preserve"> </w:t>
      </w:r>
      <w:r>
        <w:t xml:space="preserve">Data analysis and interpretation.</w:t>
      </w:r>
    </w:p>
    <w:p>
      <w:pPr>
        <w:numPr>
          <w:ilvl w:val="0"/>
          <w:numId w:val="1007"/>
        </w:numPr>
        <w:pStyle w:val="Compact"/>
      </w:pPr>
      <w:r>
        <w:rPr>
          <w:bCs/>
          <w:b/>
        </w:rPr>
        <w:t xml:space="preserve">Month 6:</w:t>
      </w:r>
      <w:r>
        <w:t xml:space="preserve"> </w:t>
      </w:r>
      <w:r>
        <w:t xml:space="preserve">Reporting of findings and dissemination of results.</w:t>
      </w:r>
    </w:p>
    <w:bookmarkEnd w:id="29"/>
    <w:bookmarkStart w:id="30" w:name="conclusion"/>
    <w:p>
      <w:pPr>
        <w:pStyle w:val="Heading2"/>
      </w:pPr>
      <w:r>
        <w:t xml:space="preserve">7. Conclusion</w:t>
      </w:r>
    </w:p>
    <w:p>
      <w:pPr>
        <w:pStyle w:val="FirstParagraph"/>
      </w:pPr>
      <w:r>
        <w:t xml:space="preserve">This Experiment Protocol provides a comprehensive framework for studying the behaviors and practices of bankers in Madrid, Spain. By focusing on the unique characteristics of this region, the study aims to generate actionable insights that can benefit financial institutions, regulators, and clients alike. The findings will not only enhance our understanding of banking in Madrid but also contribute to the global discourse on financial services.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Spain Madrid</dc:title>
  <dc:creator/>
  <dc:language>en</dc:language>
  <cp:keywords/>
  <dcterms:created xsi:type="dcterms:W3CDTF">2026-10-10T02:16:39Z</dcterms:created>
  <dcterms:modified xsi:type="dcterms:W3CDTF">2026-10-10T02:16:39Z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