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Simulation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Document Title:</w:t>
      </w:r>
      <w:r>
        <w:t xml:space="preserve"> </w:t>
      </w:r>
      <w:r>
        <w:t xml:space="preserve">Experiment Protocol: Behavioral Analysis of the Banker Role in Financial Decision-Making</w:t>
      </w:r>
    </w:p>
    <w:p>
      <w:pPr>
        <w:pStyle w:val="BodyText"/>
      </w:pPr>
      <w:r>
        <w:rPr>
          <w:bCs/>
          <w:b/>
        </w:rPr>
        <w:t xml:space="preserve">Location:</w:t>
      </w:r>
      <w:r>
        <w:t xml:space="preserve"> </w:t>
      </w:r>
      <w:r>
        <w:t xml:space="preserve">Vietnam Ho Chi Minh City (HCMC)</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0" w:name="experiment-protocol"/>
    <w:p>
      <w:pPr>
        <w:pStyle w:val="Heading1"/>
      </w:pPr>
      <w:r>
        <w:t xml:space="preserve">Experiment Protocol</w:t>
      </w:r>
    </w:p>
    <w:bookmarkStart w:id="20" w:name="introduction-and-objective"/>
    <w:p>
      <w:pPr>
        <w:pStyle w:val="Heading2"/>
      </w:pPr>
      <w:r>
        <w:t xml:space="preserve">1. Introduction and Objective</w:t>
      </w:r>
    </w:p>
    <w:p>
      <w:pPr>
        <w:pStyle w:val="FirstParagraph"/>
      </w:pPr>
      <w:r>
        <w:t xml:space="preserve">This Experiment Protocol outlines the methodology for a controlled behavioral study focusing on the decision-making processes of a Banker within the dynamic financial landscape of Vietnam Ho Chi Minh City. As HCMC serves as the economic engine of Vietnam, understanding the risk assessment, ethical considerations, and strategic planning of financial professionals is critical.</w:t>
      </w:r>
    </w:p>
    <w:p>
      <w:pPr>
        <w:pStyle w:val="BodyText"/>
      </w:pPr>
      <w:r>
        <w:t xml:space="preserve">The primary objective is to simulate high-pressure lending scenarios to observe how a Banker balances institutional risk management policies with the socio-economic realities of the local market. This study aims to quantify the impact of cultural factors, regulatory constraints, and market volatility on the Banker's final verdicts.</w:t>
      </w:r>
    </w:p>
    <w:bookmarkEnd w:id="20"/>
    <w:bookmarkStart w:id="21" w:name="scope-and-context"/>
    <w:p>
      <w:pPr>
        <w:pStyle w:val="Heading2"/>
      </w:pPr>
      <w:r>
        <w:t xml:space="preserve">2. Scope and Context</w:t>
      </w:r>
    </w:p>
    <w:p>
      <w:pPr>
        <w:pStyle w:val="FirstParagraph"/>
      </w:pPr>
      <w:r>
        <w:t xml:space="preserve">The experiment is strictly confined to the jurisdiction and economic context of Vietnam Ho Chi Minh City. Participants will be presented with case studies reflective of the local market, including sectors such as real estate development in District 2, manufacturing in Binh Duong province, and small-to-medium enterprises (SMEs) in the central districts.</w:t>
      </w:r>
    </w:p>
    <w:p>
      <w:pPr>
        <w:pStyle w:val="BodyText"/>
      </w:pPr>
      <w:r>
        <w:t xml:space="preserve">The role of the Banker is defined as a senior credit officer or relationship manager responsible for approving or rejecting loan applications ranging from 500 million VND to 50 billion VND. The protocol ensures that all scenarios adhere to the current regulations set by the State Bank of Vietnam (SBV).</w:t>
      </w:r>
    </w:p>
    <w:bookmarkEnd w:id="21"/>
    <w:bookmarkStart w:id="22" w:name="participant-selection"/>
    <w:p>
      <w:pPr>
        <w:pStyle w:val="Heading2"/>
      </w:pPr>
      <w:r>
        <w:t xml:space="preserve">3. Participant Selection</w:t>
      </w:r>
    </w:p>
    <w:p>
      <w:pPr>
        <w:pStyle w:val="FirstParagraph"/>
      </w:pPr>
      <w:r>
        <w:t xml:space="preserve">To ensure the validity of the Experiment Protocol, participants must meet specific criteria relevant to the banking sector in Vietnam Ho Chi Minh City:</w:t>
      </w:r>
    </w:p>
    <w:p>
      <w:pPr>
        <w:numPr>
          <w:ilvl w:val="0"/>
          <w:numId w:val="1001"/>
        </w:numPr>
        <w:pStyle w:val="Compact"/>
      </w:pPr>
      <w:r>
        <w:rPr>
          <w:bCs/>
          <w:b/>
        </w:rPr>
        <w:t xml:space="preserve">Professional Background:</w:t>
      </w:r>
      <w:r>
        <w:t xml:space="preserve"> </w:t>
      </w:r>
      <w:r>
        <w:t xml:space="preserve">Must be currently employed as a Banker or financial analyst in a commercial bank operating in HCMC.</w:t>
      </w:r>
    </w:p>
    <w:p>
      <w:pPr>
        <w:numPr>
          <w:ilvl w:val="0"/>
          <w:numId w:val="1001"/>
        </w:numPr>
        <w:pStyle w:val="Compact"/>
      </w:pPr>
      <w:r>
        <w:rPr>
          <w:bCs/>
          <w:b/>
        </w:rPr>
        <w:t xml:space="preserve">Experience:</w:t>
      </w:r>
      <w:r>
        <w:t xml:space="preserve"> </w:t>
      </w:r>
      <w:r>
        <w:t xml:space="preserve">Minimum of 3 years of experience in credit assessment or risk management.</w:t>
      </w:r>
    </w:p>
    <w:p>
      <w:pPr>
        <w:numPr>
          <w:ilvl w:val="0"/>
          <w:numId w:val="1001"/>
        </w:numPr>
        <w:pStyle w:val="Compact"/>
      </w:pPr>
      <w:r>
        <w:rPr>
          <w:bCs/>
          <w:b/>
        </w:rPr>
        <w:t xml:space="preserve">Language:</w:t>
      </w:r>
      <w:r>
        <w:t xml:space="preserve"> </w:t>
      </w:r>
      <w:r>
        <w:t xml:space="preserve">Proficiency in Vietnamese and English is required to interpret complex financial documents and regulatory guidelines.</w:t>
      </w:r>
    </w:p>
    <w:p>
      <w:pPr>
        <w:numPr>
          <w:ilvl w:val="0"/>
          <w:numId w:val="1001"/>
        </w:numPr>
        <w:pStyle w:val="Compact"/>
      </w:pPr>
      <w:r>
        <w:rPr>
          <w:bCs/>
          <w:b/>
        </w:rPr>
        <w:t xml:space="preserve">Sample Size:</w:t>
      </w:r>
      <w:r>
        <w:t xml:space="preserve"> </w:t>
      </w:r>
      <w:r>
        <w:t xml:space="preserve">A total of 50 participants will be recruited to ensure statistical significance.</w:t>
      </w:r>
    </w:p>
    <w:bookmarkEnd w:id="22"/>
    <w:bookmarkStart w:id="25" w:name="experimental-design"/>
    <w:p>
      <w:pPr>
        <w:pStyle w:val="Heading2"/>
      </w:pPr>
      <w:r>
        <w:t xml:space="preserve">4. Experimental Design</w:t>
      </w:r>
    </w:p>
    <w:bookmarkStart w:id="23" w:name="simulation-environment"/>
    <w:p>
      <w:pPr>
        <w:pStyle w:val="Heading3"/>
      </w:pPr>
      <w:r>
        <w:t xml:space="preserve">4.1. Simulation Environment</w:t>
      </w:r>
    </w:p>
    <w:p>
      <w:pPr>
        <w:pStyle w:val="FirstParagraph"/>
      </w:pPr>
      <w:r>
        <w:t xml:space="preserve">The experiment will take place in a controlled laboratory setting located in District 1, Vietnam Ho Chi Minh City, designed to mimic a professional banking office. Participants will be provided with digital terminals containing the necessary financial data, credit scoring algorithms, and regulatory checklists.</w:t>
      </w:r>
    </w:p>
    <w:bookmarkEnd w:id="23"/>
    <w:bookmarkStart w:id="24" w:name="scenarios"/>
    <w:p>
      <w:pPr>
        <w:pStyle w:val="Heading3"/>
      </w:pPr>
      <w:r>
        <w:t xml:space="preserve">4.2. Scenarios</w:t>
      </w:r>
    </w:p>
    <w:p>
      <w:pPr>
        <w:pStyle w:val="FirstParagraph"/>
      </w:pPr>
      <w:r>
        <w:t xml:space="preserve">Each Banker will be presented with five distinct loan application scenarios. These scenarios are crafted to reflect the unique challenges of the HCMC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 ID</w:t>
            </w:r>
          </w:p>
        </w:tc>
        <w:tc>
          <w:tcPr/>
          <w:p>
            <w:pPr>
              <w:pStyle w:val="Compact"/>
              <w:jc w:val="left"/>
            </w:pPr>
            <w:r>
              <w:t xml:space="preserve">Description</w:t>
            </w:r>
          </w:p>
        </w:tc>
        <w:tc>
          <w:tcPr/>
          <w:p>
            <w:pPr>
              <w:pStyle w:val="Compact"/>
              <w:jc w:val="left"/>
            </w:pPr>
            <w:r>
              <w:t xml:space="preserve">Key Variable</w:t>
            </w:r>
          </w:p>
        </w:tc>
      </w:tr>
      <w:tr>
        <w:tc>
          <w:tcPr/>
          <w:p>
            <w:pPr>
              <w:pStyle w:val="Compact"/>
              <w:jc w:val="left"/>
            </w:pPr>
            <w:r>
              <w:t xml:space="preserve">S-01</w:t>
            </w:r>
          </w:p>
        </w:tc>
        <w:tc>
          <w:tcPr/>
          <w:p>
            <w:pPr>
              <w:pStyle w:val="Compact"/>
              <w:jc w:val="left"/>
            </w:pPr>
            <w:r>
              <w:t xml:space="preserve">Real Estate Project in District 9</w:t>
            </w:r>
          </w:p>
        </w:tc>
        <w:tc>
          <w:tcPr/>
          <w:p>
            <w:pPr>
              <w:pStyle w:val="Compact"/>
              <w:jc w:val="left"/>
            </w:pPr>
            <w:r>
              <w:t xml:space="preserve">Market Volatility</w:t>
            </w:r>
          </w:p>
        </w:tc>
      </w:tr>
      <w:tr>
        <w:tc>
          <w:tcPr/>
          <w:p>
            <w:pPr>
              <w:pStyle w:val="Compact"/>
              <w:jc w:val="left"/>
            </w:pPr>
            <w:r>
              <w:t xml:space="preserve">S-02</w:t>
            </w:r>
          </w:p>
        </w:tc>
        <w:tc>
          <w:tcPr/>
          <w:p>
            <w:pPr>
              <w:pStyle w:val="Compact"/>
              <w:jc w:val="left"/>
            </w:pPr>
            <w:r>
              <w:t xml:space="preserve">SME Export Business</w:t>
            </w:r>
          </w:p>
        </w:tc>
        <w:tc>
          <w:tcPr/>
          <w:p>
            <w:pPr>
              <w:pStyle w:val="Compact"/>
              <w:jc w:val="left"/>
            </w:pPr>
            <w:r>
              <w:t xml:space="preserve">Currency Fluctuation Risk</w:t>
            </w:r>
          </w:p>
        </w:tc>
      </w:tr>
      <w:tr>
        <w:tc>
          <w:tcPr/>
          <w:p>
            <w:pPr>
              <w:pStyle w:val="Compact"/>
              <w:jc w:val="left"/>
            </w:pPr>
            <w:r>
              <w:t xml:space="preserve">S-03</w:t>
            </w:r>
          </w:p>
        </w:tc>
        <w:tc>
          <w:tcPr/>
          <w:p>
            <w:pPr>
              <w:pStyle w:val="Compact"/>
              <w:jc w:val="left"/>
            </w:pPr>
            <w:r>
              <w:t xml:space="preserve">Family-Owned Manufacturing Firm</w:t>
            </w:r>
          </w:p>
        </w:tc>
        <w:tc>
          <w:tcPr/>
          <w:p>
            <w:pPr>
              <w:pStyle w:val="Compact"/>
              <w:jc w:val="left"/>
            </w:pPr>
            <w:r>
              <w:t xml:space="preserve">Corporate Governance</w:t>
            </w:r>
          </w:p>
        </w:tc>
      </w:tr>
      <w:tr>
        <w:tc>
          <w:tcPr/>
          <w:p>
            <w:pPr>
              <w:pStyle w:val="Compact"/>
              <w:jc w:val="left"/>
            </w:pPr>
            <w:r>
              <w:t xml:space="preserve">S-04</w:t>
            </w:r>
          </w:p>
        </w:tc>
        <w:tc>
          <w:tcPr/>
          <w:p>
            <w:pPr>
              <w:pStyle w:val="Compact"/>
              <w:jc w:val="left"/>
            </w:pPr>
            <w:r>
              <w:t xml:space="preserve">Tech Startup in Software Park</w:t>
            </w:r>
          </w:p>
        </w:tc>
        <w:tc>
          <w:tcPr/>
          <w:p>
            <w:pPr>
              <w:pStyle w:val="Compact"/>
              <w:jc w:val="left"/>
            </w:pPr>
            <w:r>
              <w:t xml:space="preserve">Intangible Asset Valuation</w:t>
            </w:r>
          </w:p>
        </w:tc>
      </w:tr>
      <w:tr>
        <w:tc>
          <w:tcPr/>
          <w:p>
            <w:pPr>
              <w:pStyle w:val="Compact"/>
              <w:jc w:val="left"/>
            </w:pPr>
            <w:r>
              <w:t xml:space="preserve">S-05</w:t>
            </w:r>
          </w:p>
        </w:tc>
        <w:tc>
          <w:tcPr/>
          <w:p>
            <w:pPr>
              <w:pStyle w:val="Compact"/>
              <w:jc w:val="left"/>
            </w:pPr>
            <w:r>
              <w:t xml:space="preserve">High-Net-Worth Individual Mortgage</w:t>
            </w:r>
          </w:p>
        </w:tc>
        <w:tc>
          <w:tcPr/>
          <w:p>
            <w:pPr>
              <w:pStyle w:val="Compact"/>
              <w:jc w:val="left"/>
            </w:pPr>
            <w:r>
              <w:t xml:space="preserve">Ethical Conflict of Interest</w:t>
            </w:r>
          </w:p>
        </w:tc>
      </w:tr>
    </w:tbl>
    <w:bookmarkEnd w:id="24"/>
    <w:bookmarkEnd w:id="25"/>
    <w:bookmarkStart w:id="26" w:name="procedure"/>
    <w:p>
      <w:pPr>
        <w:pStyle w:val="Heading2"/>
      </w:pPr>
      <w:r>
        <w:t xml:space="preserve">5. Procedure</w:t>
      </w:r>
    </w:p>
    <w:p>
      <w:pPr>
        <w:pStyle w:val="FirstParagraph"/>
      </w:pPr>
      <w:r>
        <w:t xml:space="preserve">The Experiment Protocol follows a strict timeline to minimize external variables:</w:t>
      </w:r>
    </w:p>
    <w:p>
      <w:pPr>
        <w:numPr>
          <w:ilvl w:val="0"/>
          <w:numId w:val="1002"/>
        </w:numPr>
        <w:pStyle w:val="Compact"/>
      </w:pPr>
      <w:r>
        <w:rPr>
          <w:bCs/>
          <w:b/>
        </w:rPr>
        <w:t xml:space="preserve">Onboarding:</w:t>
      </w:r>
      <w:r>
        <w:t xml:space="preserve"> </w:t>
      </w:r>
      <w:r>
        <w:t xml:space="preserve">Participants arrive at the facility in Vietnam Ho Chi Minh City and sign informed consent forms.</w:t>
      </w:r>
    </w:p>
    <w:p>
      <w:pPr>
        <w:numPr>
          <w:ilvl w:val="0"/>
          <w:numId w:val="1002"/>
        </w:numPr>
        <w:pStyle w:val="Compact"/>
      </w:pPr>
      <w:r>
        <w:rPr>
          <w:bCs/>
          <w:b/>
        </w:rPr>
        <w:t xml:space="preserve">Briefing:</w:t>
      </w:r>
      <w:r>
        <w:t xml:space="preserve"> </w:t>
      </w:r>
      <w:r>
        <w:t xml:space="preserve">A 15-minute orientation on the simulation rules and the specific regulatory framework of the State Bank of Vietnam.</w:t>
      </w:r>
    </w:p>
    <w:p>
      <w:pPr>
        <w:numPr>
          <w:ilvl w:val="0"/>
          <w:numId w:val="1002"/>
        </w:numPr>
        <w:pStyle w:val="Compact"/>
      </w:pPr>
      <w:r>
        <w:rPr>
          <w:bCs/>
          <w:b/>
        </w:rPr>
        <w:t xml:space="preserve">Simulation Phase:</w:t>
      </w:r>
      <w:r>
        <w:t xml:space="preserve"> </w:t>
      </w:r>
      <w:r>
        <w:t xml:space="preserve">Participants have 45 minutes per scenario to analyze data, consult internal policies, and make a decision (Approve, Reject, or Request More Information).</w:t>
      </w:r>
    </w:p>
    <w:p>
      <w:pPr>
        <w:numPr>
          <w:ilvl w:val="0"/>
          <w:numId w:val="1002"/>
        </w:numPr>
        <w:pStyle w:val="Compact"/>
      </w:pPr>
      <w:r>
        <w:rPr>
          <w:bCs/>
          <w:b/>
        </w:rPr>
        <w:t xml:space="preserve">Justification:</w:t>
      </w:r>
      <w:r>
        <w:t xml:space="preserve"> </w:t>
      </w:r>
      <w:r>
        <w:t xml:space="preserve">After each decision, the Banker must record a brief rationale for their choice.</w:t>
      </w:r>
    </w:p>
    <w:p>
      <w:pPr>
        <w:numPr>
          <w:ilvl w:val="0"/>
          <w:numId w:val="1002"/>
        </w:numPr>
        <w:pStyle w:val="Compact"/>
      </w:pPr>
      <w:r>
        <w:rPr>
          <w:bCs/>
          <w:b/>
        </w:rPr>
        <w:t xml:space="preserve">Debriefing:</w:t>
      </w:r>
      <w:r>
        <w:t xml:space="preserve"> </w:t>
      </w:r>
      <w:r>
        <w:t xml:space="preserve">A post-experiment interview to gather qualitative data on their thought processes.</w:t>
      </w:r>
    </w:p>
    <w:bookmarkEnd w:id="26"/>
    <w:bookmarkStart w:id="27" w:name="data-collection-and-analysis"/>
    <w:p>
      <w:pPr>
        <w:pStyle w:val="Heading2"/>
      </w:pPr>
      <w:r>
        <w:t xml:space="preserve">6. Data Collection and Analysis</w:t>
      </w:r>
    </w:p>
    <w:p>
      <w:pPr>
        <w:pStyle w:val="FirstParagraph"/>
      </w:pPr>
      <w:r>
        <w:t xml:space="preserve">Data will be collected through digital logs of decision times, final verdicts, and written justifications. The analysis will focus on:</w:t>
      </w:r>
    </w:p>
    <w:p>
      <w:pPr>
        <w:numPr>
          <w:ilvl w:val="0"/>
          <w:numId w:val="1003"/>
        </w:numPr>
        <w:pStyle w:val="Compact"/>
      </w:pPr>
      <w:r>
        <w:t xml:space="preserve">Consistency of decisions across different Bankers.</w:t>
      </w:r>
    </w:p>
    <w:p>
      <w:pPr>
        <w:numPr>
          <w:ilvl w:val="0"/>
          <w:numId w:val="1003"/>
        </w:numPr>
        <w:pStyle w:val="Compact"/>
      </w:pPr>
      <w:r>
        <w:t xml:space="preserve">The influence of cultural factors specific to Vietnam Ho Chi Minh City on risk tolerance.</w:t>
      </w:r>
    </w:p>
    <w:p>
      <w:pPr>
        <w:numPr>
          <w:ilvl w:val="0"/>
          <w:numId w:val="1003"/>
        </w:numPr>
        <w:pStyle w:val="Compact"/>
      </w:pPr>
      <w:r>
        <w:t xml:space="preserve">Adherence to SBV regulations versus personal judgment.</w:t>
      </w:r>
    </w:p>
    <w:bookmarkEnd w:id="27"/>
    <w:bookmarkStart w:id="28" w:name="ethical-considerations"/>
    <w:p>
      <w:pPr>
        <w:pStyle w:val="Heading2"/>
      </w:pPr>
      <w:r>
        <w:t xml:space="preserve">7. Ethical Considerations</w:t>
      </w:r>
    </w:p>
    <w:p>
      <w:pPr>
        <w:pStyle w:val="FirstParagraph"/>
      </w:pPr>
      <w:r>
        <w:t xml:space="preserve">This Experiment Protocol adheres to international ethical standards for research involving human subjects. All data will be anonymized. Participants will be informed that their performance in the simulation does not affect their employment status. Special attention is paid to confidentiality regarding the financial data used in the scenarios.</w:t>
      </w:r>
    </w:p>
    <w:bookmarkEnd w:id="28"/>
    <w:bookmarkStart w:id="29" w:name="conclusion"/>
    <w:p>
      <w:pPr>
        <w:pStyle w:val="Heading2"/>
      </w:pPr>
      <w:r>
        <w:t xml:space="preserve">8. Conclusion</w:t>
      </w:r>
    </w:p>
    <w:p>
      <w:pPr>
        <w:pStyle w:val="FirstParagraph"/>
      </w:pPr>
      <w:r>
        <w:t xml:space="preserve">This protocol provides a robust framework for analyzing the behavior of a Banker in the context of Vietnam Ho Chi Minh City. By simulating realistic market conditions, the study aims to contribute valuable insights to the fields of behavioral finance and risk management.</w:t>
      </w:r>
    </w:p>
    <w:bookmarkEnd w:id="29"/>
    <w:p>
      <w:pPr>
        <w:pStyle w:val="BodyText"/>
      </w:pPr>
      <w:r>
        <w:t xml:space="preserve">© 2023 Financial Research Institute, Vietnam Ho Chi Minh City. All rights reserved.</w:t>
      </w:r>
    </w:p>
    <w:p>
      <w:pPr>
        <w:pStyle w:val="BodyText"/>
      </w:pPr>
      <w:r>
        <w:t xml:space="preserve">Document Classification: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Simulation in Vietnam Ho Chi Minh City</dc:title>
  <dc:creator/>
  <dc:language>en</dc:language>
  <cp:keywords/>
  <dcterms:created xsi:type="dcterms:W3CDTF">2026-10-10T03:53:11Z</dcterms:created>
  <dcterms:modified xsi:type="dcterms:W3CDTF">2026-10-10T03:53:11Z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