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Performance of Novel Implantable Medical Devices</w:t>
      </w:r>
    </w:p>
    <w:p>
      <w:pPr>
        <w:pStyle w:val="BodyText"/>
      </w:pPr>
      <w:r>
        <w:rPr>
          <w:bCs/>
          <w:b/>
        </w:rPr>
        <w:t xml:space="preserve">Location:</w:t>
      </w:r>
      <w:r>
        <w:t xml:space="preserve"> </w:t>
      </w:r>
      <w:r>
        <w:t xml:space="preserve">Australia Brisbane</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[Institution Name], Brisbane, Queensland, Australia</w:t>
      </w:r>
    </w:p>
    <w:p>
      <w:pPr>
        <w:pStyle w:val="BodyText"/>
      </w:pPr>
      <w:r>
        <w:rPr>
          <w:bCs/>
          <w:b/>
        </w:rPr>
        <w:t xml:space="preserve">Date:</w:t>
      </w:r>
      <w:r>
        <w:t xml:space="preserve"> </w:t>
      </w:r>
      <w:r>
        <w:t xml:space="preserve">[Insert Date]</w:t>
      </w:r>
    </w:p>
    <w:bookmarkEnd w:id="20"/>
    <w:p>
      <w:pPr>
        <w:pStyle w:val="BodyText"/>
      </w:pPr>
      <w:r>
        <w:t xml:space="preserve">1. Introduction</w:t>
      </w:r>
    </w:p>
    <w:p>
      <w:pPr>
        <w:pStyle w:val="BodyText"/>
      </w:pPr>
      <w:r>
        <w:t xml:space="preserve">This Experiment Protocol outlines the procedures for evaluating the biocompatibility and performance of novel implantable medical devices developed by a team of Biomedical Engineers in Australia Brisbane. The research aims to ensure that the devices meet the stringent safety and efficacy standards required for clinical use in Australia and internationally. The study will be conducted in compliance with the National Health and Medical Research Council (NHMRC) guidelines and the Therapeutic Goods Administration (TGA)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biocompatibility of the novel implantable medical devices using in vitro and in vivo models.</w:t>
      </w:r>
    </w:p>
    <w:p>
      <w:pPr>
        <w:numPr>
          <w:ilvl w:val="0"/>
          <w:numId w:val="1001"/>
        </w:numPr>
        <w:pStyle w:val="Compact"/>
      </w:pPr>
      <w:r>
        <w:t xml:space="preserve">To evaluate the mechanical and electrical performance of the devices under simulated physiological conditions.</w:t>
      </w:r>
    </w:p>
    <w:p>
      <w:pPr>
        <w:numPr>
          <w:ilvl w:val="0"/>
          <w:numId w:val="1001"/>
        </w:numPr>
        <w:pStyle w:val="Compact"/>
      </w:pPr>
      <w:r>
        <w:t xml:space="preserve">To ensure compliance with Australian and international standards for medical devices.</w:t>
      </w:r>
    </w:p>
    <w:p>
      <w:pPr>
        <w:numPr>
          <w:ilvl w:val="0"/>
          <w:numId w:val="1001"/>
        </w:numPr>
        <w:pStyle w:val="Compact"/>
      </w:pPr>
      <w:r>
        <w:t xml:space="preserve">To provide data that supports the regulatory approval process for the devices in Australia Brisbane and beyond.</w:t>
      </w:r>
    </w:p>
    <w:p>
      <w:pPr>
        <w:pStyle w:val="FirstParagraph"/>
      </w:pPr>
      <w:r>
        <w:t xml:space="preserve">3. Materials and Methods</w:t>
      </w:r>
    </w:p>
    <w:p>
      <w:pPr>
        <w:pStyle w:val="BodyText"/>
      </w:pPr>
      <w:r>
        <w:rPr>
          <w:bCs/>
          <w:b/>
        </w:rPr>
        <w:t xml:space="preserve">3.1 Materials:</w:t>
      </w:r>
    </w:p>
    <w:p>
      <w:pPr>
        <w:numPr>
          <w:ilvl w:val="0"/>
          <w:numId w:val="1002"/>
        </w:numPr>
        <w:pStyle w:val="Compact"/>
      </w:pPr>
      <w:r>
        <w:t xml:space="preserve">Novel implantable medical devices (prototype versions).</w:t>
      </w:r>
    </w:p>
    <w:p>
      <w:pPr>
        <w:numPr>
          <w:ilvl w:val="0"/>
          <w:numId w:val="1002"/>
        </w:numPr>
        <w:pStyle w:val="Compact"/>
      </w:pPr>
      <w:r>
        <w:t xml:space="preserve">Cell cultures (e.g., fibroblasts, osteoblasts) for in vitro testing.</w:t>
      </w:r>
    </w:p>
    <w:p>
      <w:pPr>
        <w:numPr>
          <w:ilvl w:val="0"/>
          <w:numId w:val="1002"/>
        </w:numPr>
        <w:pStyle w:val="Compact"/>
      </w:pPr>
      <w:r>
        <w:t xml:space="preserve">Animal models (e.g., rats, rabbits) for in vivo testing, approved by the Animal Ethics Committee.</w:t>
      </w:r>
    </w:p>
    <w:p>
      <w:pPr>
        <w:numPr>
          <w:ilvl w:val="0"/>
          <w:numId w:val="1002"/>
        </w:numPr>
        <w:pStyle w:val="Compact"/>
      </w:pPr>
      <w:r>
        <w:t xml:space="preserve">Standard laboratory equipment (e.g., incubators, microscopes, mechanical testing machines).</w:t>
      </w:r>
    </w:p>
    <w:p>
      <w:pPr>
        <w:numPr>
          <w:ilvl w:val="0"/>
          <w:numId w:val="1002"/>
        </w:numPr>
        <w:pStyle w:val="Compact"/>
      </w:pPr>
      <w:r>
        <w:t xml:space="preserve">Chemicals and reagents for cell culture and histological analysis.</w:t>
      </w:r>
    </w:p>
    <w:p>
      <w:pPr>
        <w:pStyle w:val="FirstParagraph"/>
      </w:pPr>
      <w:r>
        <w:rPr>
          <w:bCs/>
          <w:b/>
        </w:rPr>
        <w:t xml:space="preserve">3.2 Methods:</w:t>
      </w:r>
    </w:p>
    <w:p>
      <w:pPr>
        <w:pStyle w:val="BodyText"/>
      </w:pPr>
      <w:r>
        <w:rPr>
          <w:bCs/>
          <w:b/>
        </w:rPr>
        <w:t xml:space="preserve">3.2.1 In Vitro Biocompatibility Testing:</w:t>
      </w:r>
    </w:p>
    <w:p>
      <w:pPr>
        <w:pStyle w:val="BodyText"/>
      </w:pPr>
      <w:r>
        <w:t xml:space="preserve">Cell cultures will be exposed to extracts from the implantable devices to assess cytotoxicity. The MTT assay will be used to measure cell viability. Additionally, cell adhesion and proliferation will be evaluated using microscopy and staining techniques.</w:t>
      </w:r>
    </w:p>
    <w:p>
      <w:pPr>
        <w:pStyle w:val="BodyText"/>
      </w:pPr>
      <w:r>
        <w:rPr>
          <w:bCs/>
          <w:b/>
        </w:rPr>
        <w:t xml:space="preserve">3.2.2 In Vivo Biocompatibility Testing:</w:t>
      </w:r>
    </w:p>
    <w:p>
      <w:pPr>
        <w:pStyle w:val="BodyText"/>
      </w:pPr>
      <w:r>
        <w:t xml:space="preserve">The devices will be implanted into animal models under sterile conditions. The animals will be monitored for signs of inflammation, infection, and other adverse reactions. Histological analysis of the tissue surrounding the implants will be conducted to assess biocompatibility.</w:t>
      </w:r>
    </w:p>
    <w:p>
      <w:pPr>
        <w:pStyle w:val="BodyText"/>
      </w:pPr>
      <w:r>
        <w:rPr>
          <w:bCs/>
          <w:b/>
        </w:rPr>
        <w:t xml:space="preserve">3.2.3 Mechanical and Electrical Performance Testing:</w:t>
      </w:r>
    </w:p>
    <w:p>
      <w:pPr>
        <w:pStyle w:val="BodyText"/>
      </w:pPr>
      <w:r>
        <w:t xml:space="preserve">The devices will be subjected to mechanical stress tests to evaluate their durability and functionality. Electrical performance will be assessed using simulated physiological conditions to ensure reliable operation.</w:t>
      </w:r>
    </w:p>
    <w:p>
      <w:pPr>
        <w:pStyle w:val="BodyText"/>
      </w:pPr>
      <w:r>
        <w:t xml:space="preserve">4. Ethical Considerations</w:t>
      </w:r>
    </w:p>
    <w:p>
      <w:pPr>
        <w:pStyle w:val="BodyText"/>
      </w:pPr>
      <w:r>
        <w:t xml:space="preserve">This study will adhere to the ethical guidelines set by the National Health and Medical Research Council (NHMRC) and the Animal Ethics Committee of [Institution Name]. All animal experiments will be conducted with the aim of minimizing pain and distress. Informed consent will be obtained for any human-derived materials used in the study.</w:t>
      </w:r>
    </w:p>
    <w:p>
      <w:pPr>
        <w:pStyle w:val="BodyText"/>
      </w:pPr>
      <w:r>
        <w:t xml:space="preserve">5. Data Analysis</w:t>
      </w:r>
    </w:p>
    <w:p>
      <w:pPr>
        <w:pStyle w:val="BodyText"/>
      </w:pPr>
      <w:r>
        <w:t xml:space="preserve">Data will be analyzed using statistical software (e.g., SPSS, R). Results will be presented as mean ± standard deviation. Statistical significance will be determined using appropriate tests (e.g., t-test, ANOVA). The findings will be compared against established benchmarks for biocompatibility and performance.</w:t>
      </w:r>
    </w:p>
    <w:p>
      <w:pPr>
        <w:pStyle w:val="BodyText"/>
      </w:pPr>
      <w:r>
        <w:t xml:space="preserve">6. Expected Outcomes</w:t>
      </w:r>
    </w:p>
    <w:p>
      <w:pPr>
        <w:pStyle w:val="BodyText"/>
      </w:pPr>
      <w:r>
        <w:t xml:space="preserve">The expected outcomes of this experiment include:</w:t>
      </w:r>
    </w:p>
    <w:p>
      <w:pPr>
        <w:numPr>
          <w:ilvl w:val="0"/>
          <w:numId w:val="1003"/>
        </w:numPr>
        <w:pStyle w:val="Compact"/>
      </w:pPr>
      <w:r>
        <w:t xml:space="preserve">Confirmation of the biocompatibility of the novel implantable medical devices.</w:t>
      </w:r>
    </w:p>
    <w:p>
      <w:pPr>
        <w:numPr>
          <w:ilvl w:val="0"/>
          <w:numId w:val="1003"/>
        </w:numPr>
        <w:pStyle w:val="Compact"/>
      </w:pPr>
      <w:r>
        <w:t xml:space="preserve">Demonstration of the devices' mechanical and electrical performance under physiological conditions.</w:t>
      </w:r>
    </w:p>
    <w:p>
      <w:pPr>
        <w:numPr>
          <w:ilvl w:val="0"/>
          <w:numId w:val="1003"/>
        </w:numPr>
        <w:pStyle w:val="Compact"/>
      </w:pPr>
      <w:r>
        <w:t xml:space="preserve">Generation of data that supports the regulatory approval process in Australia Brisbane and internationally.</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Procurement of materials, ethical approvals, and setup of laboratory conditions.</w:t>
            </w:r>
          </w:p>
        </w:tc>
      </w:tr>
      <w:tr>
        <w:tc>
          <w:tcPr/>
          <w:p>
            <w:pPr>
              <w:pStyle w:val="Compact"/>
              <w:jc w:val="left"/>
            </w:pPr>
            <w:r>
              <w:t xml:space="preserve">In Vitro Testing</w:t>
            </w:r>
          </w:p>
        </w:tc>
        <w:tc>
          <w:tcPr/>
          <w:p>
            <w:pPr>
              <w:pStyle w:val="Compact"/>
              <w:jc w:val="left"/>
            </w:pPr>
            <w:r>
              <w:t xml:space="preserve">2 months</w:t>
            </w:r>
          </w:p>
        </w:tc>
        <w:tc>
          <w:tcPr/>
          <w:p>
            <w:pPr>
              <w:pStyle w:val="Compact"/>
              <w:jc w:val="left"/>
            </w:pPr>
            <w:r>
              <w:t xml:space="preserve">Conduct cell culture experiments and analyze results.</w:t>
            </w:r>
          </w:p>
        </w:tc>
      </w:tr>
      <w:tr>
        <w:tc>
          <w:tcPr/>
          <w:p>
            <w:pPr>
              <w:pStyle w:val="Compact"/>
              <w:jc w:val="left"/>
            </w:pPr>
            <w:r>
              <w:t xml:space="preserve">In Vivo Testing</w:t>
            </w:r>
          </w:p>
        </w:tc>
        <w:tc>
          <w:tcPr/>
          <w:p>
            <w:pPr>
              <w:pStyle w:val="Compact"/>
              <w:jc w:val="left"/>
            </w:pPr>
            <w:r>
              <w:t xml:space="preserve">3 months</w:t>
            </w:r>
          </w:p>
        </w:tc>
        <w:tc>
          <w:tcPr/>
          <w:p>
            <w:pPr>
              <w:pStyle w:val="Compact"/>
              <w:jc w:val="left"/>
            </w:pPr>
            <w:r>
              <w:t xml:space="preserve">Implant devices in animal models, monitor, and conduct histological analysis.</w:t>
            </w:r>
          </w:p>
        </w:tc>
      </w:tr>
      <w:tr>
        <w:tc>
          <w:tcPr/>
          <w:p>
            <w:pPr>
              <w:pStyle w:val="Compact"/>
              <w:jc w:val="left"/>
            </w:pPr>
            <w:r>
              <w:t xml:space="preserve">Performance Testing</w:t>
            </w:r>
          </w:p>
        </w:tc>
        <w:tc>
          <w:tcPr/>
          <w:p>
            <w:pPr>
              <w:pStyle w:val="Compact"/>
              <w:jc w:val="left"/>
            </w:pPr>
            <w:r>
              <w:t xml:space="preserve">1 month</w:t>
            </w:r>
          </w:p>
        </w:tc>
        <w:tc>
          <w:tcPr/>
          <w:p>
            <w:pPr>
              <w:pStyle w:val="Compact"/>
              <w:jc w:val="left"/>
            </w:pPr>
            <w:r>
              <w:t xml:space="preserve">Conduct mechanical and electrical performance tests.</w:t>
            </w:r>
          </w:p>
        </w:tc>
      </w:tr>
      <w:tr>
        <w:tc>
          <w:tcPr/>
          <w:p>
            <w:pPr>
              <w:pStyle w:val="Compact"/>
              <w:jc w:val="left"/>
            </w:pPr>
            <w:r>
              <w:t xml:space="preserve">Data Analysis and Reporting</w:t>
            </w:r>
          </w:p>
        </w:tc>
        <w:tc>
          <w:tcPr/>
          <w:p>
            <w:pPr>
              <w:pStyle w:val="Compact"/>
              <w:jc w:val="left"/>
            </w:pPr>
            <w:r>
              <w:t xml:space="preserve">1 month</w:t>
            </w:r>
          </w:p>
        </w:tc>
        <w:tc>
          <w:tcPr/>
          <w:p>
            <w:pPr>
              <w:pStyle w:val="Compact"/>
              <w:jc w:val="left"/>
            </w:pPr>
            <w:r>
              <w:t xml:space="preserve">Analyze data, prepare reports, and submit findings.</w:t>
            </w:r>
          </w:p>
        </w:tc>
      </w:tr>
    </w:tbl>
    <w:p>
      <w:pPr>
        <w:pStyle w:val="BodyText"/>
      </w:pPr>
      <w:r>
        <w:t xml:space="preserve">8. Conclusion</w:t>
      </w:r>
    </w:p>
    <w:p>
      <w:pPr>
        <w:pStyle w:val="BodyText"/>
      </w:pPr>
      <w:r>
        <w:t xml:space="preserve">This Experiment Protocol provides a comprehensive framework for evaluating the biocompatibility and performance of novel implantable medical devices developed by Biomedical Engineers in Australia Brisbane. By adhering to rigorous scientific and ethical standards, this study aims to contribute to the advancement of medical technology and improve patient outcomes.</w:t>
      </w:r>
    </w:p>
    <w:p>
      <w:pPr>
        <w:pStyle w:val="BodyText"/>
      </w:pPr>
      <w:r>
        <w:t xml:space="preserve">Document prepared by: [Name], Biomedical Engineer</w:t>
      </w:r>
    </w:p>
    <w:p>
      <w:pPr>
        <w:pStyle w:val="BodyText"/>
      </w:pPr>
      <w:r>
        <w:t xml:space="preserve">Institution: [Institution Name], Brisbane, Queensland, Australia</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Australia Brisbane</dc:title>
  <dc:creator/>
  <dc:language>en</dc:language>
  <cp:keywords/>
  <dcterms:created xsi:type="dcterms:W3CDTF">2026-10-10T02:09:35Z</dcterms:created>
  <dcterms:modified xsi:type="dcterms:W3CDTF">2026-10-10T02:09:35Z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