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Biocompatibility and Mechanical Properties of Novel Hydrogel Scaffolds for Tissue Engineering Applications</w:t>
      </w:r>
    </w:p>
    <w:p>
      <w:pPr>
        <w:pStyle w:val="BodyText"/>
      </w:pPr>
      <w:r>
        <w:rPr>
          <w:bCs/>
          <w:b/>
        </w:rPr>
        <w:t xml:space="preserve">Principal Investigator:</w:t>
      </w:r>
      <w:r>
        <w:t xml:space="preserve"> </w:t>
      </w:r>
      <w:r>
        <w:t xml:space="preserve">Dr. Jane Smith, Biomedical Engineer</w:t>
      </w:r>
    </w:p>
    <w:p>
      <w:pPr>
        <w:pStyle w:val="BodyText"/>
      </w:pPr>
      <w:r>
        <w:rPr>
          <w:bCs/>
          <w:b/>
        </w:rPr>
        <w:t xml:space="preserve">Institution:</w:t>
      </w:r>
      <w:r>
        <w:t xml:space="preserve"> </w:t>
      </w:r>
      <w:r>
        <w:t xml:space="preserve">University of Melbourne, Department of Mechanical and Biomedical Engineering</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the biocompatibility and mechanical properties of novel hydrogel scaffolds designed for tissue engineering applications. The research is conducted by a team of Biomedical Engineers at the University of Melbourne in Australia, Melbourne. The primary objective is to assess the suitability of these scaffolds for potential use in regenerative medicine, focusing on their ability to support cell growth and maintain structural integrity under physiological conditions.</w:t>
      </w:r>
    </w:p>
    <w:p>
      <w:pPr>
        <w:pStyle w:val="BodyText"/>
      </w:pPr>
      <w:r>
        <w:t xml:space="preserve">The study adheres to the ethical guidelines and regulatory requirements set forth by the National Health and Medical Research Council (NHMRC) of Australia and the institutional review board of the University of Melbourne.</w:t>
      </w:r>
    </w:p>
    <w:p>
      <w:pPr>
        <w:pStyle w:val="BodyText"/>
      </w:pPr>
      <w:r>
        <w:t xml:space="preserve">2. Objectives</w:t>
      </w:r>
    </w:p>
    <w:p>
      <w:pPr>
        <w:numPr>
          <w:ilvl w:val="0"/>
          <w:numId w:val="1001"/>
        </w:numPr>
        <w:pStyle w:val="Compact"/>
      </w:pPr>
      <w:r>
        <w:t xml:space="preserve">To evaluate the biocompatibility of the hydrogel scaffolds using in vitro cell culture assays.</w:t>
      </w:r>
    </w:p>
    <w:p>
      <w:pPr>
        <w:numPr>
          <w:ilvl w:val="0"/>
          <w:numId w:val="1001"/>
        </w:numPr>
        <w:pStyle w:val="Compact"/>
      </w:pPr>
      <w:r>
        <w:t xml:space="preserve">To measure the mechanical properties of the scaffolds, including compressive strength and elasticity.</w:t>
      </w:r>
    </w:p>
    <w:p>
      <w:pPr>
        <w:numPr>
          <w:ilvl w:val="0"/>
          <w:numId w:val="1001"/>
        </w:numPr>
        <w:pStyle w:val="Compact"/>
      </w:pPr>
      <w:r>
        <w:t xml:space="preserve">To assess the degradation rate of the scaffolds in simulated physiological conditions.</w:t>
      </w:r>
    </w:p>
    <w:p>
      <w:pPr>
        <w:numPr>
          <w:ilvl w:val="0"/>
          <w:numId w:val="1001"/>
        </w:numPr>
        <w:pStyle w:val="Compact"/>
      </w:pPr>
      <w:r>
        <w:t xml:space="preserve">To compare the performance of the novel hydrogels with existing commercial scaffolds.</w:t>
      </w:r>
    </w:p>
    <w:p>
      <w:pPr>
        <w:pStyle w:val="FirstParagraph"/>
      </w:pPr>
      <w:r>
        <w:t xml:space="preserve">3. Materials and Methods</w:t>
      </w:r>
    </w:p>
    <w:bookmarkStart w:id="21" w:name="materials"/>
    <w:p>
      <w:pPr>
        <w:pStyle w:val="Heading3"/>
      </w:pPr>
      <w:r>
        <w:t xml:space="preserve">3.1 Materials</w:t>
      </w:r>
    </w:p>
    <w:p>
      <w:pPr>
        <w:numPr>
          <w:ilvl w:val="0"/>
          <w:numId w:val="1002"/>
        </w:numPr>
        <w:pStyle w:val="Compact"/>
      </w:pPr>
      <w:r>
        <w:t xml:space="preserve">Novel hydrogel scaffolds synthesized in-house.</w:t>
      </w:r>
    </w:p>
    <w:p>
      <w:pPr>
        <w:numPr>
          <w:ilvl w:val="0"/>
          <w:numId w:val="1002"/>
        </w:numPr>
        <w:pStyle w:val="Compact"/>
      </w:pPr>
      <w:r>
        <w:t xml:space="preserve">Commercially available hydrogel scaffolds for comparison.</w:t>
      </w:r>
    </w:p>
    <w:p>
      <w:pPr>
        <w:numPr>
          <w:ilvl w:val="0"/>
          <w:numId w:val="1002"/>
        </w:numPr>
        <w:pStyle w:val="Compact"/>
      </w:pPr>
      <w:r>
        <w:t xml:space="preserve">Human dermal fibroblasts (HDFs) obtained from certified cell banks.</w:t>
      </w:r>
    </w:p>
    <w:p>
      <w:pPr>
        <w:numPr>
          <w:ilvl w:val="0"/>
          <w:numId w:val="1002"/>
        </w:numPr>
        <w:pStyle w:val="Compact"/>
      </w:pPr>
      <w:r>
        <w:t xml:space="preserve">Cell culture media, supplements, and reagents.</w:t>
      </w:r>
    </w:p>
    <w:p>
      <w:pPr>
        <w:numPr>
          <w:ilvl w:val="0"/>
          <w:numId w:val="1002"/>
        </w:numPr>
        <w:pStyle w:val="Compact"/>
      </w:pPr>
      <w:r>
        <w:t xml:space="preserve">Bioreactor system for mechanical testing.</w:t>
      </w:r>
    </w:p>
    <w:p>
      <w:pPr>
        <w:numPr>
          <w:ilvl w:val="0"/>
          <w:numId w:val="1002"/>
        </w:numPr>
        <w:pStyle w:val="Compact"/>
      </w:pPr>
      <w:r>
        <w:t xml:space="preserve">Scanning Electron Microscope (SEM) for morphological analysis.</w:t>
      </w:r>
    </w:p>
    <w:bookmarkEnd w:id="21"/>
    <w:bookmarkStart w:id="26" w:name="methods"/>
    <w:p>
      <w:pPr>
        <w:pStyle w:val="Heading3"/>
      </w:pPr>
      <w:r>
        <w:t xml:space="preserve">3.2 Methods</w:t>
      </w:r>
    </w:p>
    <w:bookmarkStart w:id="22" w:name="cell-culture-and-seeding"/>
    <w:p>
      <w:pPr>
        <w:pStyle w:val="Heading4"/>
      </w:pPr>
      <w:r>
        <w:t xml:space="preserve">3.2.1 Cell Culture and Seeding</w:t>
      </w:r>
    </w:p>
    <w:p>
      <w:pPr>
        <w:pStyle w:val="FirstParagraph"/>
      </w:pPr>
      <w:r>
        <w:t xml:space="preserve">Human dermal fibroblasts will be cultured in Dulbecco's Modified Eagle Medium (DMEM) supplemented with 10% fetal bovine serum (FBS) and 1% penicillin-streptomycin. Cells will be seeded onto the hydrogel scaffolds at a density of 1x10^5 cells/cm² and incubated at 37°C in a 5% CO₂ atmosphere.</w:t>
      </w:r>
    </w:p>
    <w:bookmarkEnd w:id="22"/>
    <w:bookmarkStart w:id="23" w:name="biocompatibility-assessment"/>
    <w:p>
      <w:pPr>
        <w:pStyle w:val="Heading4"/>
      </w:pPr>
      <w:r>
        <w:t xml:space="preserve">3.2.2 Biocompatibility Assessment</w:t>
      </w:r>
    </w:p>
    <w:p>
      <w:pPr>
        <w:pStyle w:val="FirstParagraph"/>
      </w:pPr>
      <w:r>
        <w:t xml:space="preserve">Biocompatibility will be assessed using the MTT assay to measure cell viability and proliferation over 7, 14, and 21 days. Additionally, live/dead staining will be performed to visualize cell distribution and viability on the scaffolds.</w:t>
      </w:r>
    </w:p>
    <w:bookmarkEnd w:id="23"/>
    <w:bookmarkStart w:id="24" w:name="mechanical-testing"/>
    <w:p>
      <w:pPr>
        <w:pStyle w:val="Heading4"/>
      </w:pPr>
      <w:r>
        <w:t xml:space="preserve">3.2.3 Mechanical Testing</w:t>
      </w:r>
    </w:p>
    <w:p>
      <w:pPr>
        <w:pStyle w:val="FirstParagraph"/>
      </w:pPr>
      <w:r>
        <w:t xml:space="preserve">Compressive strength and elasticity will be measured using a universal testing machine. Scaffolds will be subjected to uniaxial compression at a strain rate of 1 mm/min until failure. Data will be analyzed to determine the Young's modulus and ultimate compressive strength.</w:t>
      </w:r>
    </w:p>
    <w:bookmarkEnd w:id="24"/>
    <w:bookmarkStart w:id="25" w:name="degradation-study"/>
    <w:p>
      <w:pPr>
        <w:pStyle w:val="Heading4"/>
      </w:pPr>
      <w:r>
        <w:t xml:space="preserve">3.2.4 Degradation Study</w:t>
      </w:r>
    </w:p>
    <w:p>
      <w:pPr>
        <w:pStyle w:val="FirstParagraph"/>
      </w:pPr>
      <w:r>
        <w:t xml:space="preserve">Scaffolds will be immersed in phosphate-buffered saline (PBS) at 37°C to simulate physiological conditions. Samples will be collected at regular intervals (1, 2, 4, and 8 weeks) to measure mass loss and changes in mechanical properties.</w:t>
      </w:r>
    </w:p>
    <w:bookmarkEnd w:id="25"/>
    <w:bookmarkEnd w:id="26"/>
    <w:p>
      <w:pPr>
        <w:pStyle w:val="BodyText"/>
      </w:pPr>
      <w:r>
        <w:t xml:space="preserve">4. Ethical Considerations</w:t>
      </w:r>
    </w:p>
    <w:p>
      <w:pPr>
        <w:pStyle w:val="BodyText"/>
      </w:pPr>
      <w:r>
        <w:t xml:space="preserve">This study involves the use of human cell lines, which are obtained from certified cell banks with appropriate ethical approvals. All procedures will be conducted in accordance with the NHMRC National Statement on Ethical Conduct in Human Research. The Biomedical Engineer leading the study has received training in ethical research practices and will ensure compliance with all relevant regulations.</w:t>
      </w:r>
    </w:p>
    <w:p>
      <w:pPr>
        <w:pStyle w:val="BodyText"/>
      </w:pPr>
      <w:r>
        <w:t xml:space="preserve">5. Data Analysis</w:t>
      </w:r>
    </w:p>
    <w:p>
      <w:pPr>
        <w:pStyle w:val="BodyText"/>
      </w:pPr>
      <w:r>
        <w:t xml:space="preserve">Data will be analyzed using statistical software (e.g., GraphPad Prism). Results will be expressed as mean ± standard deviation (SD). Differences between groups will be assessed using one-way ANOVA followed by Tukey's post-hoc test. A p-value of less than 0.05 will be considered statistically significant.</w:t>
      </w:r>
    </w:p>
    <w:p>
      <w:pPr>
        <w:pStyle w:val="BodyText"/>
      </w:pPr>
      <w:r>
        <w:t xml:space="preserve">6.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Task</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Hydrogel Synthesis</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30, 2023</w:t>
            </w:r>
          </w:p>
        </w:tc>
      </w:tr>
      <w:tr>
        <w:tc>
          <w:tcPr/>
          <w:p>
            <w:pPr>
              <w:pStyle w:val="Compact"/>
              <w:jc w:val="left"/>
            </w:pPr>
            <w:r>
              <w:t xml:space="preserve">Cell Culture and Seeding</w:t>
            </w:r>
          </w:p>
        </w:tc>
        <w:tc>
          <w:tcPr/>
          <w:p>
            <w:pPr>
              <w:pStyle w:val="Compact"/>
              <w:jc w:val="left"/>
            </w:pPr>
            <w:r>
              <w:t xml:space="preserve">2 weeks</w:t>
            </w:r>
          </w:p>
        </w:tc>
        <w:tc>
          <w:tcPr/>
          <w:p>
            <w:pPr>
              <w:pStyle w:val="Compact"/>
              <w:jc w:val="left"/>
            </w:pPr>
            <w:r>
              <w:t xml:space="preserve">December 1, 2023</w:t>
            </w:r>
          </w:p>
        </w:tc>
        <w:tc>
          <w:tcPr/>
          <w:p>
            <w:pPr>
              <w:pStyle w:val="Compact"/>
              <w:jc w:val="left"/>
            </w:pPr>
            <w:r>
              <w:t xml:space="preserve">December 14, 2023</w:t>
            </w:r>
          </w:p>
        </w:tc>
      </w:tr>
      <w:tr>
        <w:tc>
          <w:tcPr/>
          <w:p>
            <w:pPr>
              <w:pStyle w:val="Compact"/>
              <w:jc w:val="left"/>
            </w:pPr>
            <w:r>
              <w:t xml:space="preserve">Biocompatibility Assessment</w:t>
            </w:r>
          </w:p>
        </w:tc>
        <w:tc>
          <w:tcPr/>
          <w:p>
            <w:pPr>
              <w:pStyle w:val="Compact"/>
              <w:jc w:val="left"/>
            </w:pPr>
            <w:r>
              <w:t xml:space="preserve">3 weeks</w:t>
            </w:r>
          </w:p>
        </w:tc>
        <w:tc>
          <w:tcPr/>
          <w:p>
            <w:pPr>
              <w:pStyle w:val="Compact"/>
              <w:jc w:val="left"/>
            </w:pPr>
            <w:r>
              <w:t xml:space="preserve">December 15, 2023</w:t>
            </w:r>
          </w:p>
        </w:tc>
        <w:tc>
          <w:tcPr/>
          <w:p>
            <w:pPr>
              <w:pStyle w:val="Compact"/>
              <w:jc w:val="left"/>
            </w:pPr>
            <w:r>
              <w:t xml:space="preserve">January 4, 2024</w:t>
            </w:r>
          </w:p>
        </w:tc>
      </w:tr>
      <w:tr>
        <w:tc>
          <w:tcPr/>
          <w:p>
            <w:pPr>
              <w:pStyle w:val="Compact"/>
              <w:jc w:val="left"/>
            </w:pPr>
            <w:r>
              <w:t xml:space="preserve">Mechanical Testing</w:t>
            </w:r>
          </w:p>
        </w:tc>
        <w:tc>
          <w:tcPr/>
          <w:p>
            <w:pPr>
              <w:pStyle w:val="Compact"/>
              <w:jc w:val="left"/>
            </w:pPr>
            <w:r>
              <w:t xml:space="preserve">2 weeks</w:t>
            </w:r>
          </w:p>
        </w:tc>
        <w:tc>
          <w:tcPr/>
          <w:p>
            <w:pPr>
              <w:pStyle w:val="Compact"/>
              <w:jc w:val="left"/>
            </w:pPr>
            <w:r>
              <w:t xml:space="preserve">January 5, 2024</w:t>
            </w:r>
          </w:p>
        </w:tc>
        <w:tc>
          <w:tcPr/>
          <w:p>
            <w:pPr>
              <w:pStyle w:val="Compact"/>
              <w:jc w:val="left"/>
            </w:pPr>
            <w:r>
              <w:t xml:space="preserve">January 18, 2024</w:t>
            </w:r>
          </w:p>
        </w:tc>
      </w:tr>
      <w:tr>
        <w:tc>
          <w:tcPr/>
          <w:p>
            <w:pPr>
              <w:pStyle w:val="Compact"/>
              <w:jc w:val="left"/>
            </w:pPr>
            <w:r>
              <w:t xml:space="preserve">Degradation Study</w:t>
            </w:r>
          </w:p>
        </w:tc>
        <w:tc>
          <w:tcPr/>
          <w:p>
            <w:pPr>
              <w:pStyle w:val="Compact"/>
              <w:jc w:val="left"/>
            </w:pPr>
            <w:r>
              <w:t xml:space="preserve">8 weeks</w:t>
            </w:r>
          </w:p>
        </w:tc>
        <w:tc>
          <w:tcPr/>
          <w:p>
            <w:pPr>
              <w:pStyle w:val="Compact"/>
              <w:jc w:val="left"/>
            </w:pPr>
            <w:r>
              <w:t xml:space="preserve">January 19, 2024</w:t>
            </w:r>
          </w:p>
        </w:tc>
        <w:tc>
          <w:tcPr/>
          <w:p>
            <w:pPr>
              <w:pStyle w:val="Compact"/>
              <w:jc w:val="left"/>
            </w:pPr>
            <w:r>
              <w:t xml:space="preserve">March 15, 2024</w:t>
            </w:r>
          </w:p>
        </w:tc>
      </w:tr>
      <w:tr>
        <w:tc>
          <w:tcPr/>
          <w:p>
            <w:pPr>
              <w:pStyle w:val="Compact"/>
              <w:jc w:val="left"/>
            </w:pPr>
            <w:r>
              <w:t xml:space="preserve">Data Analysis and Reporting</w:t>
            </w:r>
          </w:p>
        </w:tc>
        <w:tc>
          <w:tcPr/>
          <w:p>
            <w:pPr>
              <w:pStyle w:val="Compact"/>
              <w:jc w:val="left"/>
            </w:pPr>
            <w:r>
              <w:t xml:space="preserve">4 weeks</w:t>
            </w:r>
          </w:p>
        </w:tc>
        <w:tc>
          <w:tcPr/>
          <w:p>
            <w:pPr>
              <w:pStyle w:val="Compact"/>
              <w:jc w:val="left"/>
            </w:pPr>
            <w:r>
              <w:t xml:space="preserve">March 16, 2024</w:t>
            </w:r>
          </w:p>
        </w:tc>
        <w:tc>
          <w:tcPr/>
          <w:p>
            <w:pPr>
              <w:pStyle w:val="Compact"/>
              <w:jc w:val="left"/>
            </w:pPr>
            <w:r>
              <w:t xml:space="preserve">April 12, 2024</w:t>
            </w:r>
          </w:p>
        </w:tc>
      </w:tr>
    </w:tbl>
    <w:p>
      <w:pPr>
        <w:pStyle w:val="BodyText"/>
      </w:pPr>
      <w:r>
        <w:t xml:space="preserve">7. Conclusion</w:t>
      </w:r>
    </w:p>
    <w:p>
      <w:pPr>
        <w:pStyle w:val="BodyText"/>
      </w:pPr>
      <w:r>
        <w:t xml:space="preserve">This Experiment Protocol provides a comprehensive framework for evaluating the biocompatibility and mechanical properties of novel hydrogel scaffolds for tissue engineering applications. The research, conducted by a Biomedical Engineer in Australia, Melbourne, aims to contribute to the development of advanced biomaterials for regenerative medicine. By adhering to rigorous scientific and ethical standards, this study seeks to advance the field of biomedical engineering and improve patient outcomes.</w:t>
      </w:r>
    </w:p>
    <w:p>
      <w:pPr>
        <w:pStyle w:val="BodyText"/>
      </w:pPr>
      <w:r>
        <w:t xml:space="preserve">For further information, please contact Dr. Jane Smith at the University of Melbourne, Department of Mechanical and Biomedical Engineering,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dc:title>
  <dc:creator/>
  <dc:language>en</dc:language>
  <cp:keywords/>
  <dcterms:created xsi:type="dcterms:W3CDTF">2026-10-10T01:39:58Z</dcterms:created>
  <dcterms:modified xsi:type="dcterms:W3CDTF">2026-10-10T01:39:58Z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