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Australia</w:t>
      </w:r>
      <w:r>
        <w:t xml:space="preserve"> </w:t>
      </w:r>
      <w:r>
        <w:t xml:space="preserve">Sydney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Biomedical Devices for Clinical Applications in Australia Sydney</w:t>
      </w:r>
    </w:p>
    <w:p>
      <w:pPr>
        <w:pStyle w:val="BodyText"/>
      </w:pPr>
      <w:r>
        <w:rPr>
          <w:bCs/>
          <w:b/>
        </w:rPr>
        <w:t xml:space="preserve">Principal Investigator:</w:t>
      </w:r>
      <w:r>
        <w:t xml:space="preserve"> </w:t>
      </w:r>
      <w:r>
        <w:t xml:space="preserve">[Name], Biomedical Engineer</w:t>
      </w:r>
    </w:p>
    <w:p>
      <w:pPr>
        <w:pStyle w:val="BodyText"/>
      </w:pPr>
      <w:r>
        <w:rPr>
          <w:bCs/>
          <w:b/>
        </w:rPr>
        <w:t xml:space="preserve">Institution:</w:t>
      </w:r>
      <w:r>
        <w:t xml:space="preserve"> </w:t>
      </w:r>
      <w:r>
        <w:t xml:space="preserve">[Institution Name], Australia Sydney</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conducting biomedical engineering research in Australia Sydney. The primary objective is to evaluate the safety, efficacy, and performance of novel biomedical devices intended for clinical use. This protocol adheres to the ethical and regulatory standards set by the National Health and Medical Research Council (NHMRC) and the Therapeutic Goods Administration (TGA) in Australia.</w:t>
      </w:r>
    </w:p>
    <w:p>
      <w:pPr>
        <w:pStyle w:val="BodyText"/>
      </w:pPr>
      <w:r>
        <w:t xml:space="preserve">The research will be conducted by a team of Biomedical Engineers and clinical collaborators at [Institution Name], located in Australia Sydney. The study aims to contribute to the advancement of medical technology and improve patient outcomes in the region.</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assess the technical performance of the biomedical device under controlled laboratory conditions.</w:t>
      </w:r>
    </w:p>
    <w:p>
      <w:pPr>
        <w:numPr>
          <w:ilvl w:val="0"/>
          <w:numId w:val="1001"/>
        </w:numPr>
        <w:pStyle w:val="Compact"/>
      </w:pPr>
      <w:r>
        <w:t xml:space="preserve">To evaluate the device's safety profile in accordance with Australian regulatory requirements.</w:t>
      </w:r>
    </w:p>
    <w:p>
      <w:pPr>
        <w:numPr>
          <w:ilvl w:val="0"/>
          <w:numId w:val="1001"/>
        </w:numPr>
        <w:pStyle w:val="Compact"/>
      </w:pPr>
      <w:r>
        <w:t xml:space="preserve">To determine the device's efficacy in achieving its intended clinical outcomes.</w:t>
      </w:r>
    </w:p>
    <w:p>
      <w:pPr>
        <w:numPr>
          <w:ilvl w:val="0"/>
          <w:numId w:val="1001"/>
        </w:numPr>
        <w:pStyle w:val="Compact"/>
      </w:pPr>
      <w:r>
        <w:t xml:space="preserve">To gather feedback from healthcare professionals and patients in Australia Sydney to refine the device design.</w:t>
      </w:r>
    </w:p>
    <w:p>
      <w:pPr>
        <w:pStyle w:val="FirstParagraph"/>
      </w:pPr>
      <w:r>
        <w:t xml:space="preserve">3. Methodology</w:t>
      </w:r>
    </w:p>
    <w:p>
      <w:pPr>
        <w:pStyle w:val="BodyText"/>
      </w:pPr>
      <w:r>
        <w:t xml:space="preserve">The experiment will be conducted in three phases: pre-clinical testing, clinical evaluation, and post-market surveillance. Each phase will be meticulously planned and executed by the Biomedical Engineer team.</w:t>
      </w:r>
    </w:p>
    <w:bookmarkStart w:id="21" w:name="pre-clinical-testing"/>
    <w:p>
      <w:pPr>
        <w:pStyle w:val="Heading3"/>
      </w:pPr>
      <w:r>
        <w:t xml:space="preserve">3.1 Pre-Clinical Testing</w:t>
      </w:r>
    </w:p>
    <w:p>
      <w:pPr>
        <w:pStyle w:val="FirstParagraph"/>
      </w:pPr>
      <w:r>
        <w:t xml:space="preserve">Pre-clinical testing will involve rigorous laboratory experiments to validate the device's functionality and safety. This phase includes:</w:t>
      </w:r>
    </w:p>
    <w:p>
      <w:pPr>
        <w:numPr>
          <w:ilvl w:val="0"/>
          <w:numId w:val="1002"/>
        </w:numPr>
        <w:pStyle w:val="Compact"/>
      </w:pPr>
      <w:r>
        <w:t xml:space="preserve">Material compatibility tests to ensure biocompatibility with human tissues.</w:t>
      </w:r>
    </w:p>
    <w:p>
      <w:pPr>
        <w:numPr>
          <w:ilvl w:val="0"/>
          <w:numId w:val="1002"/>
        </w:numPr>
        <w:pStyle w:val="Compact"/>
      </w:pPr>
      <w:r>
        <w:t xml:space="preserve">Electrical safety assessments to comply with AS/NZS 60601.1 standards.</w:t>
      </w:r>
    </w:p>
    <w:p>
      <w:pPr>
        <w:numPr>
          <w:ilvl w:val="0"/>
          <w:numId w:val="1002"/>
        </w:numPr>
        <w:pStyle w:val="Compact"/>
      </w:pPr>
      <w:r>
        <w:t xml:space="preserve">Performance testing under simulated physiological conditions.</w:t>
      </w:r>
    </w:p>
    <w:bookmarkEnd w:id="21"/>
    <w:bookmarkStart w:id="22" w:name="clinical-evaluation"/>
    <w:p>
      <w:pPr>
        <w:pStyle w:val="Heading3"/>
      </w:pPr>
      <w:r>
        <w:t xml:space="preserve">3.2 Clinical Evaluation</w:t>
      </w:r>
    </w:p>
    <w:p>
      <w:pPr>
        <w:pStyle w:val="FirstParagraph"/>
      </w:pPr>
      <w:r>
        <w:t xml:space="preserve">Clinical evaluation will be conducted in collaboration with healthcare facilities in Australia Sydney. This phase involves:</w:t>
      </w:r>
    </w:p>
    <w:p>
      <w:pPr>
        <w:numPr>
          <w:ilvl w:val="0"/>
          <w:numId w:val="1003"/>
        </w:numPr>
        <w:pStyle w:val="Compact"/>
      </w:pPr>
      <w:r>
        <w:t xml:space="preserve">Recruitment of participants based on predefined inclusion and exclusion criteria.</w:t>
      </w:r>
    </w:p>
    <w:p>
      <w:pPr>
        <w:numPr>
          <w:ilvl w:val="0"/>
          <w:numId w:val="1003"/>
        </w:numPr>
        <w:pStyle w:val="Compact"/>
      </w:pPr>
      <w:r>
        <w:t xml:space="preserve">Implementation of the device in a controlled clinical setting.</w:t>
      </w:r>
    </w:p>
    <w:p>
      <w:pPr>
        <w:numPr>
          <w:ilvl w:val="0"/>
          <w:numId w:val="1003"/>
        </w:numPr>
        <w:pStyle w:val="Compact"/>
      </w:pPr>
      <w:r>
        <w:t xml:space="preserve">Collection of data on device performance, patient outcomes, and adverse events.</w:t>
      </w:r>
    </w:p>
    <w:bookmarkEnd w:id="22"/>
    <w:bookmarkStart w:id="23" w:name="post-market-surveillance"/>
    <w:p>
      <w:pPr>
        <w:pStyle w:val="Heading3"/>
      </w:pPr>
      <w:r>
        <w:t xml:space="preserve">3.3 Post-Market Surveillance</w:t>
      </w:r>
    </w:p>
    <w:p>
      <w:pPr>
        <w:pStyle w:val="FirstParagraph"/>
      </w:pPr>
      <w:r>
        <w:t xml:space="preserve">Post-market surveillance will monitor the device's performance in real-world conditions. This phase includes:</w:t>
      </w:r>
    </w:p>
    <w:p>
      <w:pPr>
        <w:numPr>
          <w:ilvl w:val="0"/>
          <w:numId w:val="1004"/>
        </w:numPr>
        <w:pStyle w:val="Compact"/>
      </w:pPr>
      <w:r>
        <w:t xml:space="preserve">Continuous data collection from healthcare providers and patients.</w:t>
      </w:r>
    </w:p>
    <w:p>
      <w:pPr>
        <w:numPr>
          <w:ilvl w:val="0"/>
          <w:numId w:val="1004"/>
        </w:numPr>
        <w:pStyle w:val="Compact"/>
      </w:pPr>
      <w:r>
        <w:t xml:space="preserve">Analysis of long-term safety and efficacy data.</w:t>
      </w:r>
    </w:p>
    <w:p>
      <w:pPr>
        <w:numPr>
          <w:ilvl w:val="0"/>
          <w:numId w:val="1004"/>
        </w:numPr>
        <w:pStyle w:val="Compact"/>
      </w:pPr>
      <w:r>
        <w:t xml:space="preserve">Implementation of corrective actions if necessary.</w:t>
      </w:r>
    </w:p>
    <w:bookmarkEnd w:id="23"/>
    <w:p>
      <w:pPr>
        <w:pStyle w:val="FirstParagraph"/>
      </w:pPr>
      <w:r>
        <w:t xml:space="preserve">4. Ethical Considerations</w:t>
      </w:r>
    </w:p>
    <w:p>
      <w:pPr>
        <w:pStyle w:val="BodyText"/>
      </w:pPr>
      <w:r>
        <w:t xml:space="preserve">This experiment protocol has been reviewed and approved by the Human Research Ethics Committee (HREC) at [Institution Name]. All procedures will adhere to the NHMRC's National Statement on Ethical Conduct in Human Research. Informed consent will be obtained from all participants, and their privacy and confidentiality will be strictly maintained.</w:t>
      </w:r>
    </w:p>
    <w:p>
      <w:pPr>
        <w:pStyle w:val="BodyText"/>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 (Biomedical Engineer)</w:t>
            </w:r>
          </w:p>
        </w:tc>
        <w:tc>
          <w:tcPr/>
          <w:p>
            <w:pPr>
              <w:pStyle w:val="Compact"/>
              <w:jc w:val="left"/>
            </w:pPr>
            <w:r>
              <w:t xml:space="preserve">Oversee the entire experiment, ensure compliance with protocols, and report findings.</w:t>
            </w:r>
          </w:p>
        </w:tc>
      </w:tr>
      <w:tr>
        <w:tc>
          <w:tcPr/>
          <w:p>
            <w:pPr>
              <w:pStyle w:val="Compact"/>
              <w:jc w:val="left"/>
            </w:pPr>
            <w:r>
              <w:t xml:space="preserve">Clinical Collaborators</w:t>
            </w:r>
          </w:p>
        </w:tc>
        <w:tc>
          <w:tcPr/>
          <w:p>
            <w:pPr>
              <w:pStyle w:val="Compact"/>
              <w:jc w:val="left"/>
            </w:pPr>
            <w:r>
              <w:t xml:space="preserve">Facilitate clinical trials, recruit participants, and provide medical oversight.</w:t>
            </w:r>
          </w:p>
        </w:tc>
      </w:tr>
      <w:tr>
        <w:tc>
          <w:tcPr/>
          <w:p>
            <w:pPr>
              <w:pStyle w:val="Compact"/>
              <w:jc w:val="left"/>
            </w:pPr>
            <w:r>
              <w:t xml:space="preserve">Data Analysts</w:t>
            </w:r>
          </w:p>
        </w:tc>
        <w:tc>
          <w:tcPr/>
          <w:p>
            <w:pPr>
              <w:pStyle w:val="Compact"/>
              <w:jc w:val="left"/>
            </w:pPr>
            <w:r>
              <w:t xml:space="preserve">Analyze data collected during the experiment and prepare reports.</w:t>
            </w:r>
          </w:p>
        </w:tc>
      </w:tr>
      <w:tr>
        <w:tc>
          <w:tcPr/>
          <w:p>
            <w:pPr>
              <w:pStyle w:val="Compact"/>
              <w:jc w:val="left"/>
            </w:pPr>
            <w:r>
              <w:t xml:space="preserve">Ethics Committee</w:t>
            </w:r>
          </w:p>
        </w:tc>
        <w:tc>
          <w:tcPr/>
          <w:p>
            <w:pPr>
              <w:pStyle w:val="Compact"/>
              <w:jc w:val="left"/>
            </w:pPr>
            <w:r>
              <w:t xml:space="preserve">Review and approve the protocol, ensure ethical standards are met.</w:t>
            </w:r>
          </w:p>
        </w:tc>
      </w:tr>
    </w:tbl>
    <w:p>
      <w:pPr>
        <w:pStyle w:val="BodyText"/>
      </w:pPr>
      <w:r>
        <w:t xml:space="preserve">6. Data Management</w:t>
      </w:r>
    </w:p>
    <w:p>
      <w:pPr>
        <w:pStyle w:val="BodyText"/>
      </w:pPr>
      <w:r>
        <w:t xml:space="preserve">All data collected during the experiment will be stored securely in compliance with the Privacy Act 1988 (Cth). Data will be anonymized to protect participant identities. Regular backups will be performed to prevent data loss. Access to data will be restricted to authorized personnel only.</w:t>
      </w:r>
    </w:p>
    <w:p>
      <w:pPr>
        <w:pStyle w:val="BodyText"/>
      </w:pPr>
      <w:r>
        <w:t xml:space="preserve">7. Risk Management</w:t>
      </w:r>
    </w:p>
    <w:p>
      <w:pPr>
        <w:pStyle w:val="BodyText"/>
      </w:pPr>
      <w:r>
        <w:t xml:space="preserve">A comprehensive risk assessment has been conducted to identify potential hazards associated with the experiment. Mitigation strategies have been developed to minimize risks to participants, researchers, and the environment. Any adverse events will be promptly reported to the HREC and relevant authorities.</w:t>
      </w:r>
    </w:p>
    <w:p>
      <w:pPr>
        <w:pStyle w:val="BodyText"/>
      </w:pPr>
      <w:r>
        <w:t xml:space="preserve">8. Conclusion</w:t>
      </w:r>
    </w:p>
    <w:p>
      <w:pPr>
        <w:pStyle w:val="BodyText"/>
      </w:pPr>
      <w:r>
        <w:t xml:space="preserve">This Experiment Protocol provides a detailed framework for conducting biomedical engineering research in Australia Sydney. By adhering to this protocol, the Biomedical Engineer team aims to ensure the safety, efficacy, and regulatory compliance of novel biomedical devices. The successful completion of this study will contribute to the advancement of medical technology and improve healthcare outcomes in the region.</w:t>
      </w:r>
    </w:p>
    <w:p>
      <w:pPr>
        <w:pStyle w:val="BodyText"/>
      </w:pPr>
      <w:r>
        <w:t xml:space="preserve">For further information, please contact the Principal Investigator at [Contact Information].</w:t>
      </w:r>
    </w:p>
    <w:p>
      <w:pPr>
        <w:pStyle w:val="BodyText"/>
      </w:pPr>
      <w:r>
        <w:t xml:space="preserve">© [Year] [Institution Name], Australia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Australia Sydney</dc:title>
  <dc:creator/>
  <dc:language>en</dc:language>
  <cp:keywords/>
  <dcterms:created xsi:type="dcterms:W3CDTF">2026-10-10T03:34:33Z</dcterms:created>
  <dcterms:modified xsi:type="dcterms:W3CDTF">2026-10-10T03:34:33Z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