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Brazil</w:t>
      </w:r>
      <w:r>
        <w:t xml:space="preserve"> </w:t>
      </w:r>
      <w:r>
        <w:t xml:space="preserve">Brasília</w:t>
      </w:r>
    </w:p>
    <w:p>
      <w:pPr>
        <w:pStyle w:val="FirstParagraph"/>
      </w:pPr>
      <w:r>
        <w:rPr>
          <w:bCs/>
          <w:b/>
        </w:rPr>
        <w:t xml:space="preserve">Document ID:</w:t>
      </w:r>
      <w:r>
        <w:t xml:space="preserve"> </w:t>
      </w:r>
      <w:r>
        <w:t xml:space="preserve">EP-BME-BRB-2023-001</w:t>
      </w:r>
      <w:r>
        <w:br/>
      </w:r>
      <w:r>
        <w:rPr>
          <w:bCs/>
          <w:b/>
        </w:rPr>
        <w:t xml:space="preserve">Version:</w:t>
      </w:r>
      <w:r>
        <w:t xml:space="preserve"> </w:t>
      </w:r>
      <w:r>
        <w:t xml:space="preserve">1.0</w:t>
      </w:r>
      <w:r>
        <w:br/>
      </w:r>
      <w:r>
        <w:rPr>
          <w:bCs/>
          <w:b/>
        </w:rPr>
        <w:t xml:space="preserve">Date:</w:t>
      </w:r>
      <w:r>
        <w:t xml:space="preserve"> </w:t>
      </w:r>
      <w:r>
        <w:t xml:space="preserve">October 26, 2023</w:t>
      </w:r>
    </w:p>
    <w:p>
      <w:pPr>
        <w:pStyle w:val="BodyText"/>
      </w:pPr>
      <w:r>
        <w:rPr>
          <w:bCs/>
          <w:b/>
        </w:rPr>
        <w:t xml:space="preserve">Location:</w:t>
      </w:r>
      <w:r>
        <w:t xml:space="preserve"> </w:t>
      </w:r>
      <w:r>
        <w:t xml:space="preserve">Brazil Brasília</w:t>
      </w:r>
      <w:r>
        <w:br/>
      </w:r>
      <w:r>
        <w:rPr>
          <w:bCs/>
          <w:b/>
        </w:rPr>
        <w:t xml:space="preserve">Department:</w:t>
      </w:r>
      <w:r>
        <w:t xml:space="preserve"> </w:t>
      </w:r>
      <w:r>
        <w:t xml:space="preserve">Biomedical Engineering Research Unit</w:t>
      </w:r>
      <w:r>
        <w:br/>
      </w:r>
      <w:r>
        <w:rPr>
          <w:bCs/>
          <w:b/>
        </w:rPr>
        <w:t xml:space="preserve">Status:</w:t>
      </w:r>
      <w:r>
        <w:t xml:space="preserve"> </w:t>
      </w:r>
      <w:r>
        <w:t xml:space="preserve">Approved for Implementation</w:t>
      </w:r>
    </w:p>
    <w:bookmarkStart w:id="36" w:name="X2a239cf131295444d1311e626000cc40c2b6e4e"/>
    <w:p>
      <w:pPr>
        <w:pStyle w:val="Heading1"/>
      </w:pPr>
      <w:r>
        <w:t xml:space="preserve">Experiment Protocol: Evaluation of Wearable Biosensors for Chronic Disease Monitoring in Brazil Brasília</w:t>
      </w:r>
    </w:p>
    <w:bookmarkStart w:id="20" w:name="introduction-and-background"/>
    <w:p>
      <w:pPr>
        <w:pStyle w:val="Heading2"/>
      </w:pPr>
      <w:r>
        <w:t xml:space="preserve">1. Introduction and Background</w:t>
      </w:r>
    </w:p>
    <w:p>
      <w:pPr>
        <w:pStyle w:val="FirstParagraph"/>
      </w:pPr>
      <w:r>
        <w:t xml:space="preserve">This Experiment Protocol outlines the methodology for a clinical engineering study focused on the validation of next-generation wearable biosensors. The primary objective is to assess the efficacy, accuracy, and user compliance of these devices in monitoring chronic conditions such as hypertension and type 2 diabetes. This research is being conducted by a team of Biomedical Engineers based in Brazil Brasília, leveraging the city's status as a hub for federal health policy and advanced medical research.</w:t>
      </w:r>
    </w:p>
    <w:p>
      <w:pPr>
        <w:pStyle w:val="BodyText"/>
      </w:pPr>
      <w:r>
        <w:t xml:space="preserve">The role of the Biomedical Engineer in this protocol is critical. They are responsible not only for the technical calibration of the devices but also for ensuring that the data acquisition systems meet the rigorous standards required by the Brazilian Health Regulatory Agency (ANVISA). The study aims to bridge the gap between technological innovation and practical healthcare application within the public and private sectors of Brazil Brasília.</w:t>
      </w:r>
    </w:p>
    <w:bookmarkEnd w:id="20"/>
    <w:bookmarkStart w:id="23" w:name="objectives"/>
    <w:p>
      <w:pPr>
        <w:pStyle w:val="Heading2"/>
      </w:pPr>
      <w:r>
        <w:t xml:space="preserve">2. Objectives</w:t>
      </w:r>
    </w:p>
    <w:bookmarkStart w:id="21" w:name="primary-objective"/>
    <w:p>
      <w:pPr>
        <w:pStyle w:val="Heading3"/>
      </w:pPr>
      <w:r>
        <w:t xml:space="preserve">2.1 Primary Objective</w:t>
      </w:r>
    </w:p>
    <w:p>
      <w:pPr>
        <w:pStyle w:val="FirstParagraph"/>
      </w:pPr>
      <w:r>
        <w:t xml:space="preserve">To determine the clinical accuracy of the prototype wearable biosensor in measuring continuous glucose levels and blood pressure compared to standard clinical reference methods used in hospitals in Brazil Brasília.</w:t>
      </w:r>
    </w:p>
    <w:bookmarkEnd w:id="21"/>
    <w:bookmarkStart w:id="22" w:name="secondary-objectives"/>
    <w:p>
      <w:pPr>
        <w:pStyle w:val="Heading3"/>
      </w:pPr>
      <w:r>
        <w:t xml:space="preserve">2.2 Secondary Objectives</w:t>
      </w:r>
    </w:p>
    <w:p>
      <w:pPr>
        <w:numPr>
          <w:ilvl w:val="0"/>
          <w:numId w:val="1001"/>
        </w:numPr>
        <w:pStyle w:val="Compact"/>
      </w:pPr>
      <w:r>
        <w:t xml:space="preserve">To evaluate the long-term skin biocompatibility of the sensor adhesive over a 30-day period.</w:t>
      </w:r>
    </w:p>
    <w:p>
      <w:pPr>
        <w:numPr>
          <w:ilvl w:val="0"/>
          <w:numId w:val="1001"/>
        </w:numPr>
        <w:pStyle w:val="Compact"/>
      </w:pPr>
      <w:r>
        <w:t xml:space="preserve">To assess the usability and user experience of the device interface among diverse demographic groups in the Federal District.</w:t>
      </w:r>
    </w:p>
    <w:p>
      <w:pPr>
        <w:numPr>
          <w:ilvl w:val="0"/>
          <w:numId w:val="1001"/>
        </w:numPr>
        <w:pStyle w:val="Compact"/>
      </w:pPr>
      <w:r>
        <w:t xml:space="preserve">To analyze the data transmission reliability of the device within the local network infrastructure of Brazil Brasília.</w:t>
      </w:r>
    </w:p>
    <w:bookmarkEnd w:id="22"/>
    <w:bookmarkEnd w:id="23"/>
    <w:bookmarkStart w:id="27"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is a prospective, randomized, controlled trial. The study will be conducted in collaboration with major healthcare institutions in Brazil Brasília, including the Hospital das Clínicas of the University of Brasília (UnB). The Biomedical Engineer will oversee the randomization process to ensure unbiased distribution of the prototype devices versus the control group using standard commercial monitors.</w:t>
      </w:r>
    </w:p>
    <w:bookmarkEnd w:id="24"/>
    <w:bookmarkStart w:id="25" w:name="participants"/>
    <w:p>
      <w:pPr>
        <w:pStyle w:val="Heading3"/>
      </w:pPr>
      <w:r>
        <w:t xml:space="preserve">3.2 Participants</w:t>
      </w:r>
    </w:p>
    <w:p>
      <w:pPr>
        <w:pStyle w:val="FirstParagraph"/>
      </w:pPr>
      <w:r>
        <w:t xml:space="preserve">The study will recruit 150 adult participants aged 40 to 70 years residing in Brazil Brasília. Inclusion criteria include a confirmed diagnosis of hypertension or type 2 diabetes. Exclusion criteria include severe skin allergies, pregnancy, or inability to provide informed consent. The recruitment strategy will ensure representation of the socioeconomic diversity found in the Federal District.</w:t>
      </w:r>
    </w:p>
    <w:bookmarkEnd w:id="25"/>
    <w:bookmarkStart w:id="26" w:name="equipment-and-materials"/>
    <w:p>
      <w:pPr>
        <w:pStyle w:val="Heading3"/>
      </w:pPr>
      <w:r>
        <w:t xml:space="preserve">3.3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Prototype Wearable Biosensor</w:t>
            </w:r>
          </w:p>
        </w:tc>
        <w:tc>
          <w:tcPr/>
          <w:p>
            <w:pPr>
              <w:pStyle w:val="Compact"/>
              <w:jc w:val="left"/>
            </w:pPr>
            <w:r>
              <w:t xml:space="preserve">Model X-200, calibrated by Biomedical Engineer</w:t>
            </w:r>
          </w:p>
        </w:tc>
        <w:tc>
          <w:tcPr/>
          <w:p>
            <w:pPr>
              <w:pStyle w:val="Compact"/>
              <w:jc w:val="left"/>
            </w:pPr>
            <w:r>
              <w:t xml:space="preserve">75 units</w:t>
            </w:r>
          </w:p>
        </w:tc>
      </w:tr>
      <w:tr>
        <w:tc>
          <w:tcPr/>
          <w:p>
            <w:pPr>
              <w:pStyle w:val="Compact"/>
              <w:jc w:val="left"/>
            </w:pPr>
            <w:r>
              <w:t xml:space="preserve">Reference Blood Pressure Monitor</w:t>
            </w:r>
          </w:p>
        </w:tc>
        <w:tc>
          <w:tcPr/>
          <w:p>
            <w:pPr>
              <w:pStyle w:val="Compact"/>
              <w:jc w:val="left"/>
            </w:pPr>
            <w:r>
              <w:t xml:space="preserve">Mercury Sphygmomanometer (Gold Standard)</w:t>
            </w:r>
          </w:p>
        </w:tc>
        <w:tc>
          <w:tcPr/>
          <w:p>
            <w:pPr>
              <w:pStyle w:val="Compact"/>
              <w:jc w:val="left"/>
            </w:pPr>
            <w:r>
              <w:t xml:space="preserve">5 units</w:t>
            </w:r>
          </w:p>
        </w:tc>
      </w:tr>
      <w:tr>
        <w:tc>
          <w:tcPr/>
          <w:p>
            <w:pPr>
              <w:pStyle w:val="Compact"/>
              <w:jc w:val="left"/>
            </w:pPr>
            <w:r>
              <w:t xml:space="preserve">Glucose Analyzer</w:t>
            </w:r>
          </w:p>
        </w:tc>
        <w:tc>
          <w:tcPr/>
          <w:p>
            <w:pPr>
              <w:pStyle w:val="Compact"/>
              <w:jc w:val="left"/>
            </w:pPr>
            <w:r>
              <w:t xml:space="preserve">Lab-grade spectrophotometer</w:t>
            </w:r>
          </w:p>
        </w:tc>
        <w:tc>
          <w:tcPr/>
          <w:p>
            <w:pPr>
              <w:pStyle w:val="Compact"/>
              <w:jc w:val="left"/>
            </w:pPr>
            <w:r>
              <w:t xml:space="preserve">2 units</w:t>
            </w:r>
          </w:p>
        </w:tc>
      </w:tr>
      <w:tr>
        <w:tc>
          <w:tcPr/>
          <w:p>
            <w:pPr>
              <w:pStyle w:val="Compact"/>
              <w:jc w:val="left"/>
            </w:pPr>
            <w:r>
              <w:t xml:space="preserve">Data Logging Software</w:t>
            </w:r>
          </w:p>
        </w:tc>
        <w:tc>
          <w:tcPr/>
          <w:p>
            <w:pPr>
              <w:pStyle w:val="Compact"/>
              <w:jc w:val="left"/>
            </w:pPr>
            <w:r>
              <w:t xml:space="preserve">Custom Python-based interface</w:t>
            </w:r>
          </w:p>
        </w:tc>
        <w:tc>
          <w:tcPr/>
          <w:p>
            <w:pPr>
              <w:pStyle w:val="Compact"/>
              <w:jc w:val="left"/>
            </w:pPr>
            <w:r>
              <w:t xml:space="preserve">1 license</w:t>
            </w:r>
          </w:p>
        </w:tc>
      </w:tr>
    </w:tbl>
    <w:bookmarkEnd w:id="26"/>
    <w:bookmarkEnd w:id="27"/>
    <w:bookmarkStart w:id="31" w:name="procedures"/>
    <w:p>
      <w:pPr>
        <w:pStyle w:val="Heading2"/>
      </w:pPr>
      <w:r>
        <w:t xml:space="preserve">4. Procedures</w:t>
      </w:r>
    </w:p>
    <w:bookmarkStart w:id="28" w:name="preparation-and-calibration"/>
    <w:p>
      <w:pPr>
        <w:pStyle w:val="Heading3"/>
      </w:pPr>
      <w:r>
        <w:t xml:space="preserve">4.1 Preparation and Calibration</w:t>
      </w:r>
    </w:p>
    <w:p>
      <w:pPr>
        <w:pStyle w:val="FirstParagraph"/>
      </w:pPr>
      <w:r>
        <w:t xml:space="preserve">Prior to participant enrollment, the Biomedical Engineer must perform a rigorous calibration of all prototype devices. This involves testing against known standards in a controlled laboratory environment within Brazil Brasília. Each device will be assigned a unique identifier to track performance metrics and potential hardware failures.</w:t>
      </w:r>
    </w:p>
    <w:bookmarkEnd w:id="28"/>
    <w:bookmarkStart w:id="29" w:name="participant-onboarding"/>
    <w:p>
      <w:pPr>
        <w:pStyle w:val="Heading3"/>
      </w:pPr>
      <w:r>
        <w:t xml:space="preserve">4.2 Participant Onboarding</w:t>
      </w:r>
    </w:p>
    <w:p>
      <w:pPr>
        <w:pStyle w:val="FirstParagraph"/>
      </w:pPr>
      <w:r>
        <w:t xml:space="preserve">Upon signing the informed consent form, participants will undergo a baseline health assessment. The Biomedical Engineer will fit the wearable biosensor, ensuring proper placement and adhesion. Detailed instructions on device usage and charging will be provided in Portuguese, tailored to the local population of Brazil Brasília.</w:t>
      </w:r>
    </w:p>
    <w:bookmarkEnd w:id="29"/>
    <w:bookmarkStart w:id="30" w:name="data-collection"/>
    <w:p>
      <w:pPr>
        <w:pStyle w:val="Heading3"/>
      </w:pPr>
      <w:r>
        <w:t xml:space="preserve">4.3 Data Collection</w:t>
      </w:r>
    </w:p>
    <w:p>
      <w:pPr>
        <w:pStyle w:val="FirstParagraph"/>
      </w:pPr>
      <w:r>
        <w:t xml:space="preserve">Data will be collected continuously over a period of 30 days. Participants will be required to visit the research center in Brazil Brasília weekly for device checks and to provide blood samples for reference glucose measurements. The Biomedical Engineer will review the data logs weekly to identify any anomalies or technical issues that may require intervention.</w:t>
      </w:r>
    </w:p>
    <w:bookmarkEnd w:id="30"/>
    <w:bookmarkEnd w:id="31"/>
    <w:bookmarkStart w:id="32" w:name="data-analysis"/>
    <w:p>
      <w:pPr>
        <w:pStyle w:val="Heading2"/>
      </w:pPr>
      <w:r>
        <w:t xml:space="preserve">5. Data Analysis</w:t>
      </w:r>
    </w:p>
    <w:p>
      <w:pPr>
        <w:pStyle w:val="FirstParagraph"/>
      </w:pPr>
      <w:r>
        <w:t xml:space="preserve">Statistical analysis will be performed using specialized software. The Biomedical Engineer will collaborate with statisticians to compare the biosensor readings against the reference methods. Key metrics include mean absolute relative difference (MARD) for glucose and mean difference for blood pressure. The analysis will also consider environmental factors specific to Brazil Brasília, such as temperature and humidity, which may affect sensor performance.</w:t>
      </w:r>
    </w:p>
    <w:bookmarkEnd w:id="32"/>
    <w:bookmarkStart w:id="33" w:name="ethical-considerations"/>
    <w:p>
      <w:pPr>
        <w:pStyle w:val="Heading2"/>
      </w:pPr>
      <w:r>
        <w:t xml:space="preserve">6. Ethical Considerations</w:t>
      </w:r>
    </w:p>
    <w:p>
      <w:pPr>
        <w:pStyle w:val="FirstParagraph"/>
      </w:pPr>
      <w:r>
        <w:t xml:space="preserve">This Experiment Protocol has been reviewed and approved by the Research Ethics Committee of the University of Brasília. All procedures adhere to the Declaration of Helsinki and local regulations in Brazil. Participant privacy and data security are paramount; all data will be anonymized and stored on secure servers located within Brazil Brasília.</w:t>
      </w:r>
    </w:p>
    <w:bookmarkEnd w:id="33"/>
    <w:bookmarkStart w:id="34" w:name="safety-and-risk-management"/>
    <w:p>
      <w:pPr>
        <w:pStyle w:val="Heading2"/>
      </w:pPr>
      <w:r>
        <w:t xml:space="preserve">7. Safety and Risk Management</w:t>
      </w:r>
    </w:p>
    <w:p>
      <w:pPr>
        <w:pStyle w:val="FirstParagraph"/>
      </w:pPr>
      <w:r>
        <w:t xml:space="preserve">Potential risks include skin irritation and minor discomfort from device wear. The Biomedical Engineer will monitor participants for adverse events and provide immediate medical attention if necessary. A clear protocol for device removal and participant withdrawal is established to ensure safety and ethical compliance.</w:t>
      </w:r>
    </w:p>
    <w:bookmarkEnd w:id="34"/>
    <w:bookmarkStart w:id="35" w:name="conclusion"/>
    <w:p>
      <w:pPr>
        <w:pStyle w:val="Heading2"/>
      </w:pPr>
      <w:r>
        <w:t xml:space="preserve">8. Conclusion</w:t>
      </w:r>
    </w:p>
    <w:p>
      <w:pPr>
        <w:pStyle w:val="FirstParagraph"/>
      </w:pPr>
      <w:r>
        <w:t xml:space="preserve">This Experiment Protocol represents a significant step forward in the application of biomedical engineering to improve healthcare outcomes in Brazil Brasília. By rigorously testing wearable biosensors in a real-world setting, the Biomedical Engineer contributes to the development of reliable, accessible health monitoring tools. The findings from this study will inform future regulatory decisions and clinical practices, ultimately benefiting the population of Brazil and beyond.</w:t>
      </w:r>
    </w:p>
    <w:p>
      <w:pPr>
        <w:pStyle w:val="BodyText"/>
      </w:pPr>
      <w:r>
        <w:t xml:space="preserve">© 2023 Biomedical Engineering Research Unit, Brazil Brasília. All rights reserved.</w:t>
      </w:r>
      <w:r>
        <w:br/>
      </w:r>
      <w:r>
        <w:t xml:space="preserve">This document is confidential and intended for authorized personnel only.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Brazil Brasília</dc:title>
  <dc:creator/>
  <dc:language>en</dc:language>
  <cp:keywords/>
  <dcterms:created xsi:type="dcterms:W3CDTF">2026-10-10T02:23:00Z</dcterms:created>
  <dcterms:modified xsi:type="dcterms:W3CDTF">2026-10-10T02:23:00Z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