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Rio</w:t>
      </w:r>
      <w:r>
        <w:t xml:space="preserve"> </w:t>
      </w:r>
      <w:r>
        <w:t xml:space="preserve">de</w:t>
      </w:r>
      <w:r>
        <w:t xml:space="preserve"> </w:t>
      </w:r>
      <w:r>
        <w:t xml:space="preserve">Janeiro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Biocompatibility and Performance of Novel Hydrogel-Based Biosensors for Continuous Glucose Monitoring in Tropical Environments</w:t>
      </w:r>
    </w:p>
    <w:p>
      <w:pPr>
        <w:pStyle w:val="BodyText"/>
      </w:pPr>
      <w:r>
        <w:rPr>
          <w:bCs/>
          <w:b/>
        </w:rPr>
        <w:t xml:space="preserve">Location:</w:t>
      </w:r>
      <w:r>
        <w:t xml:space="preserve"> </w:t>
      </w:r>
      <w:r>
        <w:t xml:space="preserve">Rio de Janeiro, Brazil</w:t>
      </w:r>
    </w:p>
    <w:p>
      <w:pPr>
        <w:pStyle w:val="BodyText"/>
      </w:pPr>
      <w:r>
        <w:rPr>
          <w:bCs/>
          <w:b/>
        </w:rPr>
        <w:t xml:space="preserve">Principal Investigator:</w:t>
      </w:r>
      <w:r>
        <w:t xml:space="preserve"> </w:t>
      </w:r>
      <w:r>
        <w:t xml:space="preserve">Dr. Ana Silva, Biomedical Engineer</w:t>
      </w:r>
    </w:p>
    <w:p>
      <w:pPr>
        <w:pStyle w:val="BodyText"/>
      </w:pPr>
      <w:r>
        <w:rPr>
          <w:bCs/>
          <w:b/>
        </w:rPr>
        <w:t xml:space="preserve">Institution:</w:t>
      </w:r>
      <w:r>
        <w:t xml:space="preserve"> </w:t>
      </w:r>
      <w:r>
        <w:t xml:space="preserve">Federal University of Rio de Janeiro (UFRJ) – Laboratory of Biomedical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15, 2023</w:t>
      </w:r>
    </w:p>
    <w:bookmarkEnd w:id="20"/>
    <w:p>
      <w:pPr>
        <w:pStyle w:val="BodyText"/>
      </w:pPr>
      <w:r>
        <w:t xml:space="preserve">1. Introduction and Background</w:t>
      </w:r>
    </w:p>
    <w:p>
      <w:pPr>
        <w:pStyle w:val="BodyText"/>
      </w:pPr>
      <w:r>
        <w:t xml:space="preserve">This Experiment Protocol outlines the procedures for evaluating a novel hydrogel-based biosensor designed for continuous glucose monitoring (CGM). The research is conducted by a team of Biomedical Engineers at the Federal University of Rio de Janeiro (UFRJ), located in Rio de Janeiro, Brazil. The tropical climate of Rio de Janeiro, characterized by high humidity and temperature fluctuations, presents unique challenges for the stability and performance of biomedical devices. This study aims to assess the biocompatibility, accuracy, and durability of the biosensor under these specific environmental conditions.</w:t>
      </w:r>
    </w:p>
    <w:p>
      <w:pPr>
        <w:pStyle w:val="BodyText"/>
      </w:pPr>
      <w:r>
        <w:t xml:space="preserve">The development of this biosensor is part of a broader effort to improve diabetes management in Brazil, where the prevalence of diabetes is high. By ensuring that the device performs reliably in tropical environments, this research seeks to contribute to the advancement of healthcare technologies tailored to the needs of populations in similar climates.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biocompatibility of the hydrogel-based biosensor using in vitro and in vivo models.</w:t>
      </w:r>
    </w:p>
    <w:p>
      <w:pPr>
        <w:numPr>
          <w:ilvl w:val="0"/>
          <w:numId w:val="1001"/>
        </w:numPr>
        <w:pStyle w:val="Compact"/>
      </w:pPr>
      <w:r>
        <w:t xml:space="preserve">To assess the accuracy and precision of glucose measurements under varying temperature and humidity conditions typical of Rio de Janeiro.</w:t>
      </w:r>
    </w:p>
    <w:p>
      <w:pPr>
        <w:numPr>
          <w:ilvl w:val="0"/>
          <w:numId w:val="1001"/>
        </w:numPr>
        <w:pStyle w:val="Compact"/>
      </w:pPr>
      <w:r>
        <w:t xml:space="preserve">To determine the long-term stability and durability of the biosensor when exposed to tropical environmental factors.</w:t>
      </w:r>
    </w:p>
    <w:p>
      <w:pPr>
        <w:numPr>
          <w:ilvl w:val="0"/>
          <w:numId w:val="1001"/>
        </w:numPr>
        <w:pStyle w:val="Compact"/>
      </w:pPr>
      <w:r>
        <w:t xml:space="preserve">To compare the performance of the novel biosensor with commercially available CGM devices.</w:t>
      </w:r>
    </w:p>
    <w:p>
      <w:pPr>
        <w:pStyle w:val="FirstParagraph"/>
      </w:pPr>
      <w:r>
        <w:t xml:space="preserve">3. Methodology</w:t>
      </w:r>
    </w:p>
    <w:p>
      <w:pPr>
        <w:pStyle w:val="BodyText"/>
      </w:pPr>
      <w:r>
        <w:t xml:space="preserve">The experiment will be conducted in three phases: in vitro testing, in vivo testing, and field testing. All procedures will adhere to ethical guidelines and regulatory requirements established by the Brazilian National Health Agency (ANVISA) and the Research Ethics Committee of UFRJ.</w:t>
      </w:r>
    </w:p>
    <w:bookmarkStart w:id="21" w:name="in-vitro-testing"/>
    <w:p>
      <w:pPr>
        <w:pStyle w:val="Heading3"/>
      </w:pPr>
      <w:r>
        <w:t xml:space="preserve">3.1 In Vitro Testing</w:t>
      </w:r>
    </w:p>
    <w:p>
      <w:pPr>
        <w:pStyle w:val="FirstParagraph"/>
      </w:pPr>
      <w:r>
        <w:t xml:space="preserve">In vitro tests will be performed to assess the biocompatibility of the hydrogel material. Cell cultures will be exposed to the biosensor material, and cytotoxicity will be evaluated using standard assays such as the MTT assay. Additionally, the biosensor's response to glucose solutions of varying concentrations will be measured to determine its sensitivity and specificity.</w:t>
      </w:r>
    </w:p>
    <w:bookmarkEnd w:id="21"/>
    <w:bookmarkStart w:id="22" w:name="in-vivo-testing"/>
    <w:p>
      <w:pPr>
        <w:pStyle w:val="Heading3"/>
      </w:pPr>
      <w:r>
        <w:t xml:space="preserve">3.2 In Vivo Testing</w:t>
      </w:r>
    </w:p>
    <w:p>
      <w:pPr>
        <w:pStyle w:val="FirstParagraph"/>
      </w:pPr>
      <w:r>
        <w:t xml:space="preserve">In vivo tests will involve the implantation of the biosensor in animal models (e.g., rats) to evaluate its biocompatibility and performance in a living system. Glucose levels will be monitored continuously over a period of two weeks, and the data will be compared with blood glucose measurements obtained via standard laboratory methods.</w:t>
      </w:r>
    </w:p>
    <w:bookmarkEnd w:id="22"/>
    <w:bookmarkStart w:id="23" w:name="field-testing"/>
    <w:p>
      <w:pPr>
        <w:pStyle w:val="Heading3"/>
      </w:pPr>
      <w:r>
        <w:t xml:space="preserve">3.3 Field Testing</w:t>
      </w:r>
    </w:p>
    <w:p>
      <w:pPr>
        <w:pStyle w:val="FirstParagraph"/>
      </w:pPr>
      <w:r>
        <w:t xml:space="preserve">Field testing will be conducted in Rio de Janeiro to assess the biosensor's performance under real-world conditions. A group of volunteers with diabetes will wear the biosensor for a period of four weeks. Environmental data (temperature and humidity) will be recorded simultaneously to analyze their impact on device performance. Participants will also complete questionnaires to provide feedback on comfort and usability.</w:t>
      </w:r>
    </w:p>
    <w:bookmarkEnd w:id="23"/>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Hydrogel-Based Biosensors</w:t>
            </w:r>
          </w:p>
        </w:tc>
        <w:tc>
          <w:tcPr/>
          <w:p>
            <w:pPr>
              <w:pStyle w:val="Compact"/>
              <w:jc w:val="left"/>
            </w:pPr>
            <w:r>
              <w:t xml:space="preserve">Novel prototype devices</w:t>
            </w:r>
          </w:p>
        </w:tc>
        <w:tc>
          <w:tcPr/>
          <w:p>
            <w:pPr>
              <w:pStyle w:val="Compact"/>
              <w:jc w:val="left"/>
            </w:pPr>
            <w:r>
              <w:t xml:space="preserve">50</w:t>
            </w:r>
          </w:p>
        </w:tc>
      </w:tr>
      <w:tr>
        <w:tc>
          <w:tcPr/>
          <w:p>
            <w:pPr>
              <w:pStyle w:val="Compact"/>
              <w:jc w:val="left"/>
            </w:pPr>
            <w:r>
              <w:t xml:space="preserve">Cell Culture Kits</w:t>
            </w:r>
          </w:p>
        </w:tc>
        <w:tc>
          <w:tcPr/>
          <w:p>
            <w:pPr>
              <w:pStyle w:val="Compact"/>
              <w:jc w:val="left"/>
            </w:pPr>
            <w:r>
              <w:t xml:space="preserve">For in vitro biocompatibility testing</w:t>
            </w:r>
          </w:p>
        </w:tc>
        <w:tc>
          <w:tcPr/>
          <w:p>
            <w:pPr>
              <w:pStyle w:val="Compact"/>
              <w:jc w:val="left"/>
            </w:pPr>
            <w:r>
              <w:t xml:space="preserve">10</w:t>
            </w:r>
          </w:p>
        </w:tc>
      </w:tr>
      <w:tr>
        <w:tc>
          <w:tcPr/>
          <w:p>
            <w:pPr>
              <w:pStyle w:val="Compact"/>
              <w:jc w:val="left"/>
            </w:pPr>
            <w:r>
              <w:t xml:space="preserve">Animal Models</w:t>
            </w:r>
          </w:p>
        </w:tc>
        <w:tc>
          <w:tcPr/>
          <w:p>
            <w:pPr>
              <w:pStyle w:val="Compact"/>
              <w:jc w:val="left"/>
            </w:pPr>
            <w:r>
              <w:t xml:space="preserve">Rats for in vivo testing</w:t>
            </w:r>
          </w:p>
        </w:tc>
        <w:tc>
          <w:tcPr/>
          <w:p>
            <w:pPr>
              <w:pStyle w:val="Compact"/>
              <w:jc w:val="left"/>
            </w:pPr>
            <w:r>
              <w:t xml:space="preserve">20</w:t>
            </w:r>
          </w:p>
        </w:tc>
      </w:tr>
      <w:tr>
        <w:tc>
          <w:tcPr/>
          <w:p>
            <w:pPr>
              <w:pStyle w:val="Compact"/>
              <w:jc w:val="left"/>
            </w:pPr>
            <w:r>
              <w:t xml:space="preserve">Glucose Solutions</w:t>
            </w:r>
          </w:p>
        </w:tc>
        <w:tc>
          <w:tcPr/>
          <w:p>
            <w:pPr>
              <w:pStyle w:val="Compact"/>
              <w:jc w:val="left"/>
            </w:pPr>
            <w:r>
              <w:t xml:space="preserve">Varying concentrations for calibration</w:t>
            </w:r>
          </w:p>
        </w:tc>
        <w:tc>
          <w:tcPr/>
          <w:p>
            <w:pPr>
              <w:pStyle w:val="Compact"/>
              <w:jc w:val="left"/>
            </w:pPr>
            <w:r>
              <w:t xml:space="preserve">100 mL</w:t>
            </w:r>
          </w:p>
        </w:tc>
      </w:tr>
      <w:tr>
        <w:tc>
          <w:tcPr/>
          <w:p>
            <w:pPr>
              <w:pStyle w:val="Compact"/>
              <w:jc w:val="left"/>
            </w:pPr>
            <w:r>
              <w:t xml:space="preserve">Environmental Monitoring Devices</w:t>
            </w:r>
          </w:p>
        </w:tc>
        <w:tc>
          <w:tcPr/>
          <w:p>
            <w:pPr>
              <w:pStyle w:val="Compact"/>
              <w:jc w:val="left"/>
            </w:pPr>
            <w:r>
              <w:t xml:space="preserve">For recording temperature and humidity</w:t>
            </w:r>
          </w:p>
        </w:tc>
        <w:tc>
          <w:tcPr/>
          <w:p>
            <w:pPr>
              <w:pStyle w:val="Compact"/>
              <w:jc w:val="left"/>
            </w:pPr>
            <w:r>
              <w:t xml:space="preserve">10</w:t>
            </w:r>
          </w:p>
        </w:tc>
      </w:tr>
      <w:tr>
        <w:tc>
          <w:tcPr/>
          <w:p>
            <w:pPr>
              <w:pStyle w:val="Compact"/>
              <w:jc w:val="left"/>
            </w:pPr>
            <w:r>
              <w:t xml:space="preserve">Commercial CGM Devices</w:t>
            </w:r>
          </w:p>
        </w:tc>
        <w:tc>
          <w:tcPr/>
          <w:p>
            <w:pPr>
              <w:pStyle w:val="Compact"/>
              <w:jc w:val="left"/>
            </w:pPr>
            <w:r>
              <w:t xml:space="preserve">For comparative analysis</w:t>
            </w:r>
          </w:p>
        </w:tc>
        <w:tc>
          <w:tcPr/>
          <w:p>
            <w:pPr>
              <w:pStyle w:val="Compact"/>
              <w:jc w:val="left"/>
            </w:pPr>
            <w:r>
              <w:t xml:space="preserve">10</w:t>
            </w:r>
          </w:p>
        </w:tc>
      </w:tr>
    </w:tbl>
    <w:p>
      <w:pPr>
        <w:pStyle w:val="BodyText"/>
      </w:pPr>
      <w:r>
        <w:t xml:space="preserve">5. Data Collection and Analysis</w:t>
      </w:r>
    </w:p>
    <w:p>
      <w:pPr>
        <w:pStyle w:val="BodyText"/>
      </w:pPr>
      <w:r>
        <w:t xml:space="preserve">Data will be collected using standardized protocols and stored in a secure database. Statistical analysis will be performed using software such as SPSS or R. Key metrics for analysis include:</w:t>
      </w:r>
    </w:p>
    <w:p>
      <w:pPr>
        <w:numPr>
          <w:ilvl w:val="0"/>
          <w:numId w:val="1002"/>
        </w:numPr>
        <w:pStyle w:val="Compact"/>
      </w:pPr>
      <w:r>
        <w:t xml:space="preserve">Accuracy and precision of glucose measurements.</w:t>
      </w:r>
    </w:p>
    <w:p>
      <w:pPr>
        <w:numPr>
          <w:ilvl w:val="0"/>
          <w:numId w:val="1002"/>
        </w:numPr>
        <w:pStyle w:val="Compact"/>
      </w:pPr>
      <w:r>
        <w:t xml:space="preserve">Biocompatibility indicators (e.g., cell viability, inflammation markers).</w:t>
      </w:r>
    </w:p>
    <w:p>
      <w:pPr>
        <w:numPr>
          <w:ilvl w:val="0"/>
          <w:numId w:val="1002"/>
        </w:numPr>
        <w:pStyle w:val="Compact"/>
      </w:pPr>
      <w:r>
        <w:t xml:space="preserve">Device stability and durability over time.</w:t>
      </w:r>
    </w:p>
    <w:p>
      <w:pPr>
        <w:numPr>
          <w:ilvl w:val="0"/>
          <w:numId w:val="1002"/>
        </w:numPr>
        <w:pStyle w:val="Compact"/>
      </w:pPr>
      <w:r>
        <w:t xml:space="preserve">User feedback on comfort and usability.</w:t>
      </w:r>
    </w:p>
    <w:p>
      <w:pPr>
        <w:pStyle w:val="FirstParagraph"/>
      </w:pPr>
      <w:r>
        <w:t xml:space="preserve">Results will be compared with those obtained from commercially available CGM devices to determine the relative performance of the novel biosensor.</w:t>
      </w:r>
    </w:p>
    <w:p>
      <w:pPr>
        <w:pStyle w:val="BodyText"/>
      </w:pPr>
      <w:r>
        <w:t xml:space="preserve">6. Ethical Considerations</w:t>
      </w:r>
    </w:p>
    <w:p>
      <w:pPr>
        <w:pStyle w:val="BodyText"/>
      </w:pPr>
      <w:r>
        <w:t xml:space="preserve">This study has been approved by the Research Ethics Committee of UFRJ (Protocol No. 123456). All participants will provide informed consent before enrollment. Animal experiments will follow the guidelines of the Brazilian College of Animal Experimentation (COBEA). Confidentiality and data protection will be maintained in accordance with Brazilian legislation.</w:t>
      </w:r>
    </w:p>
    <w:p>
      <w:pPr>
        <w:pStyle w:val="BodyText"/>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In Vitro Testing</w:t>
            </w:r>
          </w:p>
        </w:tc>
        <w:tc>
          <w:tcPr/>
          <w:p>
            <w:pPr>
              <w:pStyle w:val="Compact"/>
              <w:jc w:val="left"/>
            </w:pPr>
            <w:r>
              <w:t xml:space="preserve">2 months</w:t>
            </w:r>
          </w:p>
        </w:tc>
        <w:tc>
          <w:tcPr/>
          <w:p>
            <w:pPr>
              <w:pStyle w:val="Compact"/>
              <w:jc w:val="left"/>
            </w:pPr>
            <w:r>
              <w:t xml:space="preserve">November 1, 2023</w:t>
            </w:r>
          </w:p>
        </w:tc>
        <w:tc>
          <w:tcPr/>
          <w:p>
            <w:pPr>
              <w:pStyle w:val="Compact"/>
              <w:jc w:val="left"/>
            </w:pPr>
            <w:r>
              <w:t xml:space="preserve">December 31, 2023</w:t>
            </w:r>
          </w:p>
        </w:tc>
      </w:tr>
      <w:tr>
        <w:tc>
          <w:tcPr/>
          <w:p>
            <w:pPr>
              <w:pStyle w:val="Compact"/>
              <w:jc w:val="left"/>
            </w:pPr>
            <w:r>
              <w:t xml:space="preserve">In Vivo Testing</w:t>
            </w:r>
          </w:p>
        </w:tc>
        <w:tc>
          <w:tcPr/>
          <w:p>
            <w:pPr>
              <w:pStyle w:val="Compact"/>
              <w:jc w:val="left"/>
            </w:pPr>
            <w:r>
              <w:t xml:space="preserve">3 months</w:t>
            </w:r>
          </w:p>
        </w:tc>
        <w:tc>
          <w:tcPr/>
          <w:p>
            <w:pPr>
              <w:pStyle w:val="Compact"/>
              <w:jc w:val="left"/>
            </w:pPr>
            <w:r>
              <w:t xml:space="preserve">January 1, 2024</w:t>
            </w:r>
          </w:p>
        </w:tc>
        <w:tc>
          <w:tcPr/>
          <w:p>
            <w:pPr>
              <w:pStyle w:val="Compact"/>
              <w:jc w:val="left"/>
            </w:pPr>
            <w:r>
              <w:t xml:space="preserve">March 31, 2024</w:t>
            </w:r>
          </w:p>
        </w:tc>
      </w:tr>
      <w:tr>
        <w:tc>
          <w:tcPr/>
          <w:p>
            <w:pPr>
              <w:pStyle w:val="Compact"/>
              <w:jc w:val="left"/>
            </w:pPr>
            <w:r>
              <w:t xml:space="preserve">Field Testing</w:t>
            </w:r>
          </w:p>
        </w:tc>
        <w:tc>
          <w:tcPr/>
          <w:p>
            <w:pPr>
              <w:pStyle w:val="Compact"/>
              <w:jc w:val="left"/>
            </w:pPr>
            <w:r>
              <w:t xml:space="preserve">4 months</w:t>
            </w:r>
          </w:p>
        </w:tc>
        <w:tc>
          <w:tcPr/>
          <w:p>
            <w:pPr>
              <w:pStyle w:val="Compact"/>
              <w:jc w:val="left"/>
            </w:pPr>
            <w:r>
              <w:t xml:space="preserve">April 1, 2024</w:t>
            </w:r>
          </w:p>
        </w:tc>
        <w:tc>
          <w:tcPr/>
          <w:p>
            <w:pPr>
              <w:pStyle w:val="Compact"/>
              <w:jc w:val="left"/>
            </w:pPr>
            <w:r>
              <w:t xml:space="preserve">July 31, 2024</w:t>
            </w:r>
          </w:p>
        </w:tc>
      </w:tr>
      <w:tr>
        <w:tc>
          <w:tcPr/>
          <w:p>
            <w:pPr>
              <w:pStyle w:val="Compact"/>
              <w:jc w:val="left"/>
            </w:pPr>
            <w:r>
              <w:t xml:space="preserve">Data Analysis and Reporting</w:t>
            </w:r>
          </w:p>
        </w:tc>
        <w:tc>
          <w:tcPr/>
          <w:p>
            <w:pPr>
              <w:pStyle w:val="Compact"/>
              <w:jc w:val="left"/>
            </w:pPr>
            <w:r>
              <w:t xml:space="preserve">2 months</w:t>
            </w:r>
          </w:p>
        </w:tc>
        <w:tc>
          <w:tcPr/>
          <w:p>
            <w:pPr>
              <w:pStyle w:val="Compact"/>
              <w:jc w:val="left"/>
            </w:pPr>
            <w:r>
              <w:t xml:space="preserve">August 1, 2024</w:t>
            </w:r>
          </w:p>
        </w:tc>
        <w:tc>
          <w:tcPr/>
          <w:p>
            <w:pPr>
              <w:pStyle w:val="Compact"/>
              <w:jc w:val="left"/>
            </w:pPr>
            <w:r>
              <w:t xml:space="preserve">September 30, 2024</w:t>
            </w:r>
          </w:p>
        </w:tc>
      </w:tr>
    </w:tbl>
    <w:p>
      <w:pPr>
        <w:pStyle w:val="BodyText"/>
      </w:pPr>
      <w:r>
        <w:t xml:space="preserve">8. Conclusion</w:t>
      </w:r>
    </w:p>
    <w:p>
      <w:pPr>
        <w:pStyle w:val="BodyText"/>
      </w:pPr>
      <w:r>
        <w:t xml:space="preserve">This Experiment Protocol provides a comprehensive framework for evaluating the performance of a novel hydrogel-based biosensor in the context of Rio de Janeiro's tropical environment. By addressing the unique challenges posed by this climate, the research aims to contribute to the development of reliable and effective biomedical devices for diabetes management in Brazil and other regions with similar conditions.</w:t>
      </w:r>
    </w:p>
    <w:p>
      <w:pPr>
        <w:pStyle w:val="BodyText"/>
      </w:pPr>
      <w:r>
        <w:t xml:space="preserve">Prepared by: Dr. Ana Silva, Biomedical Engineer</w:t>
      </w:r>
    </w:p>
    <w:p>
      <w:pPr>
        <w:pStyle w:val="BodyText"/>
      </w:pPr>
      <w:r>
        <w:t xml:space="preserve">Contact: ana.silva@ufrj.br</w:t>
      </w:r>
    </w:p>
    <w:p>
      <w:pPr>
        <w:pStyle w:val="BodyText"/>
      </w:pPr>
      <w:r>
        <w:t xml:space="preserve">Federal University of Rio de Janeiro (UFRJ) – Laboratory of Biomedical Engineering</w:t>
      </w:r>
    </w:p>
    <w:p>
      <w:pPr>
        <w:pStyle w:val="BodyText"/>
      </w:pP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Rio de Janeiro</dc:title>
  <dc:creator/>
  <dc:language>en</dc:language>
  <cp:keywords/>
  <dcterms:created xsi:type="dcterms:W3CDTF">2026-10-10T02:30:31Z</dcterms:created>
  <dcterms:modified xsi:type="dcterms:W3CDTF">2026-10-10T02:30:31Z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