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Biocompatibility and Efficacy of Novel Biosensors for Continuous Glucose Monitoring in Urban Environments</w:t>
      </w:r>
    </w:p>
    <w:p>
      <w:pPr>
        <w:pStyle w:val="BodyText"/>
      </w:pPr>
      <w:r>
        <w:rPr>
          <w:bCs/>
          <w:b/>
        </w:rPr>
        <w:t xml:space="preserve">Location:</w:t>
      </w:r>
      <w:r>
        <w:t xml:space="preserve"> </w:t>
      </w:r>
      <w:r>
        <w:t xml:space="preserve">São Paulo, Brazil</w:t>
      </w:r>
    </w:p>
    <w:p>
      <w:pPr>
        <w:pStyle w:val="BodyText"/>
      </w:pPr>
      <w:r>
        <w:rPr>
          <w:bCs/>
          <w:b/>
        </w:rPr>
        <w:t xml:space="preserve">Principal Investigator:</w:t>
      </w:r>
      <w:r>
        <w:t xml:space="preserve"> </w:t>
      </w:r>
      <w:r>
        <w:t xml:space="preserve">Biomedical Engineer, PhD</w:t>
      </w:r>
    </w:p>
    <w:p>
      <w:pPr>
        <w:pStyle w:val="BodyText"/>
      </w:pPr>
      <w:r>
        <w:rPr>
          <w:bCs/>
          <w:b/>
        </w:rPr>
        <w:t xml:space="preserve">Institution:</w:t>
      </w:r>
      <w:r>
        <w:t xml:space="preserve"> </w:t>
      </w:r>
      <w:r>
        <w:t xml:space="preserve">[Name of Research Institution in São Paulo]</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a clinical and technical study conducted in São Paulo, Brazil, focusing on the development and testing of advanced biosensors for continuous glucose monitoring (CGM). The study is led by a team of Biomedical Engineers and medical professionals, aiming to address the growing demand for reliable, non-invasive diagnostic tools in the Brazilian healthcare system.</w:t>
      </w:r>
    </w:p>
    <w:p>
      <w:pPr>
        <w:pStyle w:val="BodyText"/>
      </w:pPr>
      <w:r>
        <w:t xml:space="preserve">São Paulo, as the largest city in Brazil and a hub for biomedical innovation, provides an ideal setting for this research. The city's diverse population and advanced healthcare infrastructure allow for comprehensive testing under real-world conditions. The Biomedical Engineer leading this project will ensure that all technical aspects of the biosensor design, manufacturing, and testing adhere to international standards and Brazilian regulations.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biocompatibility of the novel biosensor material when in contact with human skin over a period of 14 days.</w:t>
      </w:r>
    </w:p>
    <w:p>
      <w:pPr>
        <w:numPr>
          <w:ilvl w:val="0"/>
          <w:numId w:val="1001"/>
        </w:numPr>
        <w:pStyle w:val="Compact"/>
      </w:pPr>
      <w:r>
        <w:t xml:space="preserve">To assess the accuracy and reliability of the biosensor in measuring glucose levels compared to standard blood glucose meters.</w:t>
      </w:r>
    </w:p>
    <w:p>
      <w:pPr>
        <w:numPr>
          <w:ilvl w:val="0"/>
          <w:numId w:val="1001"/>
        </w:numPr>
        <w:pStyle w:val="Compact"/>
      </w:pPr>
      <w:r>
        <w:t xml:space="preserve">To analyze the performance of the biosensor under varying environmental conditions typical of São Paulo, including temperature and humidity fluctuations.</w:t>
      </w:r>
    </w:p>
    <w:p>
      <w:pPr>
        <w:numPr>
          <w:ilvl w:val="0"/>
          <w:numId w:val="1001"/>
        </w:numPr>
        <w:pStyle w:val="Compact"/>
      </w:pPr>
      <w:r>
        <w:t xml:space="preserve">To gather user feedback on the comfort, ease of use, and overall satisfaction with the biosensor device.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be conducted as a randomized, controlled trial involving 100 participants diagnosed with Type 1 or Type 2 diabetes. Participants will be recruited from hospitals and clinics in São Paulo, Brazil, ensuring a diverse demographic representation.</w:t>
      </w:r>
    </w:p>
    <w:bookmarkEnd w:id="23"/>
    <w:bookmarkStart w:id="24" w:name="participant-selection"/>
    <w:p>
      <w:pPr>
        <w:pStyle w:val="Heading3"/>
      </w:pPr>
      <w:r>
        <w:t xml:space="preserve">3.2 Participant Selection</w:t>
      </w:r>
    </w:p>
    <w:p>
      <w:pPr>
        <w:pStyle w:val="FirstParagraph"/>
      </w:pPr>
      <w:r>
        <w:t xml:space="preserve">Inclusion criteria:</w:t>
      </w:r>
    </w:p>
    <w:p>
      <w:pPr>
        <w:numPr>
          <w:ilvl w:val="0"/>
          <w:numId w:val="1002"/>
        </w:numPr>
        <w:pStyle w:val="Compact"/>
      </w:pPr>
      <w:r>
        <w:t xml:space="preserve">Age between 18 and 65 years.</w:t>
      </w:r>
    </w:p>
    <w:p>
      <w:pPr>
        <w:numPr>
          <w:ilvl w:val="0"/>
          <w:numId w:val="1002"/>
        </w:numPr>
        <w:pStyle w:val="Compact"/>
      </w:pPr>
      <w:r>
        <w:t xml:space="preserve">Diagnosed with Type 1 or Type 2 diabetes for at least one year.</w:t>
      </w:r>
    </w:p>
    <w:p>
      <w:pPr>
        <w:numPr>
          <w:ilvl w:val="0"/>
          <w:numId w:val="1002"/>
        </w:numPr>
        <w:pStyle w:val="Compact"/>
      </w:pPr>
      <w:r>
        <w:t xml:space="preserve">Willingness to comply with the study protocol and provide informed consent.</w:t>
      </w:r>
    </w:p>
    <w:p>
      <w:pPr>
        <w:pStyle w:val="FirstParagraph"/>
      </w:pPr>
      <w:r>
        <w:t xml:space="preserve">Exclusion criteria:</w:t>
      </w:r>
    </w:p>
    <w:p>
      <w:pPr>
        <w:numPr>
          <w:ilvl w:val="0"/>
          <w:numId w:val="1003"/>
        </w:numPr>
        <w:pStyle w:val="Compact"/>
      </w:pPr>
      <w:r>
        <w:t xml:space="preserve">History of severe skin allergies or reactions to adhesives.</w:t>
      </w:r>
    </w:p>
    <w:p>
      <w:pPr>
        <w:numPr>
          <w:ilvl w:val="0"/>
          <w:numId w:val="1003"/>
        </w:numPr>
        <w:pStyle w:val="Compact"/>
      </w:pPr>
      <w:r>
        <w:t xml:space="preserve">Pregnancy or breastfeeding.</w:t>
      </w:r>
    </w:p>
    <w:p>
      <w:pPr>
        <w:numPr>
          <w:ilvl w:val="0"/>
          <w:numId w:val="1003"/>
        </w:numPr>
        <w:pStyle w:val="Compact"/>
      </w:pPr>
      <w:r>
        <w:t xml:space="preserve">Use of other continuous glucose monitoring systems during the study period.</w:t>
      </w:r>
    </w:p>
    <w:bookmarkEnd w:id="24"/>
    <w:bookmarkStart w:id="25" w:name="procedure"/>
    <w:p>
      <w:pPr>
        <w:pStyle w:val="Heading3"/>
      </w:pPr>
      <w:r>
        <w:t xml:space="preserve">3.3 Procedure</w:t>
      </w:r>
    </w:p>
    <w:p>
      <w:pPr>
        <w:pStyle w:val="FirstParagraph"/>
      </w:pPr>
      <w:r>
        <w:t xml:space="preserve">Participants will be randomly assigned to one of two groups:</w:t>
      </w:r>
    </w:p>
    <w:p>
      <w:pPr>
        <w:numPr>
          <w:ilvl w:val="0"/>
          <w:numId w:val="1004"/>
        </w:numPr>
        <w:pStyle w:val="Compact"/>
      </w:pPr>
      <w:r>
        <w:rPr>
          <w:bCs/>
          <w:b/>
        </w:rPr>
        <w:t xml:space="preserve">Test Group:</w:t>
      </w:r>
      <w:r>
        <w:t xml:space="preserve"> </w:t>
      </w:r>
      <w:r>
        <w:t xml:space="preserve">Will use the novel biosensor developed by the Biomedical Engineer team.</w:t>
      </w:r>
    </w:p>
    <w:p>
      <w:pPr>
        <w:numPr>
          <w:ilvl w:val="0"/>
          <w:numId w:val="1004"/>
        </w:numPr>
        <w:pStyle w:val="Compact"/>
      </w:pPr>
      <w:r>
        <w:rPr>
          <w:bCs/>
          <w:b/>
        </w:rPr>
        <w:t xml:space="preserve">Control Group:</w:t>
      </w:r>
      <w:r>
        <w:t xml:space="preserve"> </w:t>
      </w:r>
      <w:r>
        <w:t xml:space="preserve">Will use a commercially available CGM device.</w:t>
      </w:r>
    </w:p>
    <w:p>
      <w:pPr>
        <w:pStyle w:val="FirstParagraph"/>
      </w:pPr>
      <w:r>
        <w:t xml:space="preserve">Both groups will wear their respective devices for 14 days. During this period, participants will record their glucose readings using both the assigned device and a standard blood glucose meter at specified intervals. The Biomedical Engineer will monitor the data collected, ensuring the integrity and accuracy of the results.</w:t>
      </w:r>
    </w:p>
    <w:bookmarkEnd w:id="25"/>
    <w:bookmarkEnd w:id="26"/>
    <w:bookmarkStart w:id="27" w:name="data-collection-and-analysis"/>
    <w:p>
      <w:pPr>
        <w:pStyle w:val="Heading2"/>
      </w:pPr>
      <w:r>
        <w:t xml:space="preserve">4. Data Collection and Analysis</w:t>
      </w:r>
    </w:p>
    <w:p>
      <w:pPr>
        <w:pStyle w:val="FirstParagraph"/>
      </w:pPr>
      <w:r>
        <w:t xml:space="preserve">Data will be collected through:</w:t>
      </w:r>
    </w:p>
    <w:p>
      <w:pPr>
        <w:numPr>
          <w:ilvl w:val="0"/>
          <w:numId w:val="1005"/>
        </w:numPr>
        <w:pStyle w:val="Compact"/>
      </w:pPr>
      <w:r>
        <w:t xml:space="preserve">Continuous glucose readings from the biosensors.</w:t>
      </w:r>
    </w:p>
    <w:p>
      <w:pPr>
        <w:numPr>
          <w:ilvl w:val="0"/>
          <w:numId w:val="1005"/>
        </w:numPr>
        <w:pStyle w:val="Compact"/>
      </w:pPr>
      <w:r>
        <w:t xml:space="preserve">Blood glucose measurements using standard meters.</w:t>
      </w:r>
    </w:p>
    <w:p>
      <w:pPr>
        <w:numPr>
          <w:ilvl w:val="0"/>
          <w:numId w:val="1005"/>
        </w:numPr>
        <w:pStyle w:val="Compact"/>
      </w:pPr>
      <w:r>
        <w:t xml:space="preserve">Participant diaries documenting any adverse reactions or issues with the devices.</w:t>
      </w:r>
    </w:p>
    <w:p>
      <w:pPr>
        <w:numPr>
          <w:ilvl w:val="0"/>
          <w:numId w:val="1005"/>
        </w:numPr>
        <w:pStyle w:val="Compact"/>
      </w:pPr>
      <w:r>
        <w:t xml:space="preserve">Surveys assessing user satisfaction and comfort.</w:t>
      </w:r>
    </w:p>
    <w:p>
      <w:pPr>
        <w:pStyle w:val="FirstParagraph"/>
      </w:pPr>
      <w:r>
        <w:t xml:space="preserve">The Biomedical Engineer will analyze the data using statistical methods to compare the performance of the novel biosensor against the control device. Key metrics will include accuracy, precision, response time, and user satisfaction scores.</w:t>
      </w:r>
    </w:p>
    <w:bookmarkEnd w:id="27"/>
    <w:bookmarkStart w:id="28" w:name="ethical-considerations"/>
    <w:p>
      <w:pPr>
        <w:pStyle w:val="Heading2"/>
      </w:pPr>
      <w:r>
        <w:t xml:space="preserve">5. Ethical Considerations</w:t>
      </w:r>
    </w:p>
    <w:p>
      <w:pPr>
        <w:pStyle w:val="FirstParagraph"/>
      </w:pPr>
      <w:r>
        <w:t xml:space="preserve">This study will adhere to the ethical guidelines established by the Brazilian National Health Council (CNS) and the Declaration of Helsinki. Informed consent will be obtained from all participants before enrollment. The study protocol has been reviewed and approved by the Institutional Review Board (IRB) of the participating institution in São Paulo.</w:t>
      </w:r>
    </w:p>
    <w:p>
      <w:pPr>
        <w:pStyle w:val="BodyText"/>
      </w:pPr>
      <w:r>
        <w:t xml:space="preserve">Confidentiality of participant data will be maintained throughout the study. Any adverse events will be promptly reported to the IRB and addressed according to established protocols.</w:t>
      </w:r>
    </w:p>
    <w:bookmarkEnd w:id="28"/>
    <w:bookmarkStart w:id="29" w:name="timeline"/>
    <w:p>
      <w:pPr>
        <w:pStyle w:val="Heading2"/>
      </w:pPr>
      <w:r>
        <w:t xml:space="preserve">6. Timeline</w:t>
      </w:r>
    </w:p>
    <w:p>
      <w:pPr>
        <w:numPr>
          <w:ilvl w:val="0"/>
          <w:numId w:val="1006"/>
        </w:numPr>
        <w:pStyle w:val="Compact"/>
      </w:pPr>
      <w:r>
        <w:rPr>
          <w:bCs/>
          <w:b/>
        </w:rPr>
        <w:t xml:space="preserve">Month 1-2:</w:t>
      </w:r>
      <w:r>
        <w:t xml:space="preserve"> </w:t>
      </w:r>
      <w:r>
        <w:t xml:space="preserve">Recruitment and screening of participants.</w:t>
      </w:r>
    </w:p>
    <w:p>
      <w:pPr>
        <w:numPr>
          <w:ilvl w:val="0"/>
          <w:numId w:val="1006"/>
        </w:numPr>
        <w:pStyle w:val="Compact"/>
      </w:pPr>
      <w:r>
        <w:rPr>
          <w:bCs/>
          <w:b/>
        </w:rPr>
        <w:t xml:space="preserve">Month 3:</w:t>
      </w:r>
      <w:r>
        <w:t xml:space="preserve"> </w:t>
      </w:r>
      <w:r>
        <w:t xml:space="preserve">Baseline data collection and device distribution.</w:t>
      </w:r>
    </w:p>
    <w:p>
      <w:pPr>
        <w:numPr>
          <w:ilvl w:val="0"/>
          <w:numId w:val="1006"/>
        </w:numPr>
        <w:pStyle w:val="Compact"/>
      </w:pPr>
      <w:r>
        <w:rPr>
          <w:bCs/>
          <w:b/>
        </w:rPr>
        <w:t xml:space="preserve">Month 4-5:</w:t>
      </w:r>
      <w:r>
        <w:t xml:space="preserve"> </w:t>
      </w:r>
      <w:r>
        <w:t xml:space="preserve">Data collection period (14 days per participant).</w:t>
      </w:r>
    </w:p>
    <w:p>
      <w:pPr>
        <w:numPr>
          <w:ilvl w:val="0"/>
          <w:numId w:val="1006"/>
        </w:numPr>
        <w:pStyle w:val="Compact"/>
      </w:pPr>
      <w:r>
        <w:rPr>
          <w:bCs/>
          <w:b/>
        </w:rPr>
        <w:t xml:space="preserve">Month 6:</w:t>
      </w:r>
      <w:r>
        <w:t xml:space="preserve"> </w:t>
      </w:r>
      <w:r>
        <w:t xml:space="preserve">Data analysis and report preparation.</w:t>
      </w:r>
    </w:p>
    <w:p>
      <w:pPr>
        <w:numPr>
          <w:ilvl w:val="0"/>
          <w:numId w:val="1006"/>
        </w:numPr>
        <w:pStyle w:val="Compact"/>
      </w:pPr>
      <w:r>
        <w:rPr>
          <w:bCs/>
          <w:b/>
        </w:rPr>
        <w:t xml:space="preserve">Month 7:</w:t>
      </w:r>
      <w:r>
        <w:t xml:space="preserve"> </w:t>
      </w:r>
      <w:r>
        <w:t xml:space="preserve">Publication of results and dissemination of findings.</w:t>
      </w:r>
    </w:p>
    <w:bookmarkEnd w:id="29"/>
    <w:bookmarkStart w:id="30" w:name="conclusion"/>
    <w:p>
      <w:pPr>
        <w:pStyle w:val="Heading2"/>
      </w:pPr>
      <w:r>
        <w:t xml:space="preserve">7. Conclusion</w:t>
      </w:r>
    </w:p>
    <w:p>
      <w:pPr>
        <w:pStyle w:val="FirstParagraph"/>
      </w:pPr>
      <w:r>
        <w:t xml:space="preserve">This Experiment Protocol represents a significant step forward in the field of biomedical engineering, particularly in the context of São Paulo, Brazil. By leveraging the expertise of a Biomedical Engineer and the unique advantages of the São Paulo environment, this study aims to contribute valuable insights into the development of advanced biosensors for diabetes management. The findings will not only benefit the local healthcare system but also have the potential to impact global practices in continuous glucose monitoring.</w:t>
      </w:r>
    </w:p>
    <w:bookmarkEnd w:id="30"/>
    <w:p>
      <w:pPr>
        <w:pStyle w:val="BodyText"/>
      </w:pPr>
      <w:r>
        <w:rPr>
          <w:bCs/>
          <w:b/>
        </w:rPr>
        <w:t xml:space="preserve">Principal Investigator:</w:t>
      </w:r>
    </w:p>
    <w:p>
      <w:pPr>
        <w:pStyle w:val="BodyText"/>
      </w:pPr>
      <w:r>
        <w:t xml:space="preserve">Biomedical Engineer, PhD</w:t>
      </w:r>
    </w:p>
    <w:p>
      <w:pPr>
        <w:pStyle w:val="BodyText"/>
      </w:pPr>
      <w:r>
        <w:t xml:space="preserve">[Signature]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São Paulo, Brazil</dc:title>
  <dc:creator/>
  <dc:language>en</dc:language>
  <cp:keywords/>
  <dcterms:created xsi:type="dcterms:W3CDTF">2026-10-10T01:06:19Z</dcterms:created>
  <dcterms:modified xsi:type="dcterms:W3CDTF">2026-10-10T01:06:19Z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