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Canada</w:t>
      </w:r>
      <w:r>
        <w:t xml:space="preserve"> </w:t>
      </w:r>
      <w:r>
        <w:t xml:space="preserve">Montreal</w:t>
      </w:r>
    </w:p>
    <w:bookmarkStart w:id="20" w:name="X32abb423230f7deedf0a64349cba115a57b131c"/>
    <w:p>
      <w:pPr>
        <w:pStyle w:val="Heading1"/>
      </w:pPr>
      <w:r>
        <w:t xml:space="preserve">Experiment Protocol: Biomedical Engineering Research in Canada Montreal</w:t>
      </w:r>
    </w:p>
    <w:p>
      <w:pPr>
        <w:pStyle w:val="FirstParagraph"/>
      </w:pPr>
      <w:r>
        <w:rPr>
          <w:bCs/>
          <w:b/>
        </w:rPr>
        <w:t xml:space="preserve">Document ID:</w:t>
      </w:r>
      <w:r>
        <w:t xml:space="preserve"> </w:t>
      </w:r>
      <w:r>
        <w:t xml:space="preserve">BME-MTL-2023-001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Montreal, Quebec, Canada</w:t>
      </w:r>
    </w:p>
    <w:bookmarkEnd w:id="20"/>
    <w:bookmarkStart w:id="21" w:name="introduction"/>
    <w:p>
      <w:pPr>
        <w:pStyle w:val="Heading2"/>
      </w:pPr>
      <w:r>
        <w:t xml:space="preserve">1. Introduction</w:t>
      </w:r>
    </w:p>
    <w:p>
      <w:pPr>
        <w:pStyle w:val="FirstParagraph"/>
      </w:pPr>
      <w:r>
        <w:t xml:space="preserve">This Experiment Protocol outlines the procedures, methodologies, and ethical considerations for conducting biomedical engineering research in Montreal, Canada. The protocol is designed to ensure compliance with Canadian regulations, including those set by Health Canada, the Tri-Council Policy Statement (TCPS2), and local institutional review boards (IRBs). The research will be conducted by a team of Biomedical Engineers specializing in medical device development, tissue engineering, and computational modeling.</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develop and test a novel biomedical device for monitoring physiological parameters in real-time.</w:t>
      </w:r>
    </w:p>
    <w:p>
      <w:pPr>
        <w:numPr>
          <w:ilvl w:val="0"/>
          <w:numId w:val="1001"/>
        </w:numPr>
        <w:pStyle w:val="Compact"/>
      </w:pPr>
      <w:r>
        <w:t xml:space="preserve">To evaluate the safety and efficacy of the device in accordance with Canadian regulatory standards.</w:t>
      </w:r>
    </w:p>
    <w:p>
      <w:pPr>
        <w:numPr>
          <w:ilvl w:val="0"/>
          <w:numId w:val="1001"/>
        </w:numPr>
        <w:pStyle w:val="Compact"/>
      </w:pPr>
      <w:r>
        <w:t xml:space="preserve">To contribute to the advancement of biomedical engineering practices in Montreal and beyond.</w:t>
      </w:r>
    </w:p>
    <w:bookmarkEnd w:id="22"/>
    <w:bookmarkStart w:id="23" w:name="scope"/>
    <w:p>
      <w:pPr>
        <w:pStyle w:val="Heading2"/>
      </w:pPr>
      <w:r>
        <w:t xml:space="preserve">3. Scope</w:t>
      </w:r>
    </w:p>
    <w:p>
      <w:pPr>
        <w:pStyle w:val="FirstParagraph"/>
      </w:pPr>
      <w:r>
        <w:t xml:space="preserve">This protocol applies to all Biomedical Engineers, researchers, and support staff involved in the experiment. It covers the design, fabrication, testing, and analysis phases of the research. The scope is limited to non-invasive devices and does not include clinical trials involving human subjects at this stage.</w:t>
      </w:r>
    </w:p>
    <w:bookmarkEnd w:id="23"/>
    <w:bookmarkStart w:id="24" w:name="regulatory-compliance"/>
    <w:p>
      <w:pPr>
        <w:pStyle w:val="Heading2"/>
      </w:pPr>
      <w:r>
        <w:t xml:space="preserve">4. Regulatory Compliance</w:t>
      </w:r>
    </w:p>
    <w:p>
      <w:pPr>
        <w:pStyle w:val="FirstParagraph"/>
      </w:pPr>
      <w:r>
        <w:t xml:space="preserve">All activities must adhere to the following regulations and guidelines:</w:t>
      </w:r>
    </w:p>
    <w:p>
      <w:pPr>
        <w:numPr>
          <w:ilvl w:val="0"/>
          <w:numId w:val="1002"/>
        </w:numPr>
        <w:pStyle w:val="Compact"/>
      </w:pPr>
      <w:r>
        <w:rPr>
          <w:bCs/>
          <w:b/>
        </w:rPr>
        <w:t xml:space="preserve">Health Canada:</w:t>
      </w:r>
      <w:r>
        <w:t xml:space="preserve"> </w:t>
      </w:r>
      <w:r>
        <w:t xml:space="preserve">Compliance with the Medical Devices Regulations (MDR) under the Food and Drugs Act.</w:t>
      </w:r>
    </w:p>
    <w:p>
      <w:pPr>
        <w:numPr>
          <w:ilvl w:val="0"/>
          <w:numId w:val="1002"/>
        </w:numPr>
        <w:pStyle w:val="Compact"/>
      </w:pPr>
      <w:r>
        <w:rPr>
          <w:bCs/>
          <w:b/>
        </w:rPr>
        <w:t xml:space="preserve">TCPS2:</w:t>
      </w:r>
      <w:r>
        <w:t xml:space="preserve"> </w:t>
      </w:r>
      <w:r>
        <w:t xml:space="preserve">Ethical conduct involving human participants, if applicable.</w:t>
      </w:r>
    </w:p>
    <w:p>
      <w:pPr>
        <w:numPr>
          <w:ilvl w:val="0"/>
          <w:numId w:val="1002"/>
        </w:numPr>
        <w:pStyle w:val="Compact"/>
      </w:pPr>
      <w:r>
        <w:rPr>
          <w:bCs/>
          <w:b/>
        </w:rPr>
        <w:t xml:space="preserve">ISO Standards:</w:t>
      </w:r>
      <w:r>
        <w:t xml:space="preserve"> </w:t>
      </w:r>
      <w:r>
        <w:t xml:space="preserve">Adherence to ISO 13485 for quality management systems and ISO 14971 for risk management.</w:t>
      </w:r>
    </w:p>
    <w:p>
      <w:pPr>
        <w:numPr>
          <w:ilvl w:val="0"/>
          <w:numId w:val="1002"/>
        </w:numPr>
        <w:pStyle w:val="Compact"/>
      </w:pPr>
      <w:r>
        <w:rPr>
          <w:bCs/>
          <w:b/>
        </w:rPr>
        <w:t xml:space="preserve">Local IRB:</w:t>
      </w:r>
      <w:r>
        <w:t xml:space="preserve"> </w:t>
      </w:r>
      <w:r>
        <w:t xml:space="preserve">Approval from the institutional review board of the hosting university or research institute in Montreal.</w:t>
      </w:r>
    </w:p>
    <w:bookmarkEnd w:id="24"/>
    <w:bookmarkStart w:id="28" w:name="methodology"/>
    <w:p>
      <w:pPr>
        <w:pStyle w:val="Heading2"/>
      </w:pPr>
      <w:r>
        <w:t xml:space="preserve">5. Methodology</w:t>
      </w:r>
    </w:p>
    <w:bookmarkStart w:id="25" w:name="device-design"/>
    <w:p>
      <w:pPr>
        <w:pStyle w:val="Heading3"/>
      </w:pPr>
      <w:r>
        <w:t xml:space="preserve">5.1 Device Design</w:t>
      </w:r>
    </w:p>
    <w:p>
      <w:pPr>
        <w:pStyle w:val="FirstParagraph"/>
      </w:pPr>
      <w:r>
        <w:t xml:space="preserve">The Biomedical Engineer team will design a wearable device capable of monitoring heart rate, blood oxygen levels, and body temperature. The design will incorporate biocompatible materials and wireless communication technologies.</w:t>
      </w:r>
    </w:p>
    <w:bookmarkEnd w:id="25"/>
    <w:bookmarkStart w:id="26" w:name="fabrication"/>
    <w:p>
      <w:pPr>
        <w:pStyle w:val="Heading3"/>
      </w:pPr>
      <w:r>
        <w:t xml:space="preserve">5.2 Fabrication</w:t>
      </w:r>
    </w:p>
    <w:p>
      <w:pPr>
        <w:pStyle w:val="FirstParagraph"/>
      </w:pPr>
      <w:r>
        <w:t xml:space="preserve">Prototypes will be fabricated using 3D printing and microfabrication techniques available at the Montreal research facility. Quality control checks will be performed at each stage of production.</w:t>
      </w:r>
    </w:p>
    <w:bookmarkEnd w:id="26"/>
    <w:bookmarkStart w:id="27" w:name="testing"/>
    <w:p>
      <w:pPr>
        <w:pStyle w:val="Heading3"/>
      </w:pPr>
      <w:r>
        <w:t xml:space="preserve">5.3 Testing</w:t>
      </w:r>
    </w:p>
    <w:p>
      <w:pPr>
        <w:pStyle w:val="FirstParagraph"/>
      </w:pPr>
      <w:r>
        <w:t xml:space="preserve">Testing will be conducted in three phases:</w:t>
      </w:r>
    </w:p>
    <w:p>
      <w:pPr>
        <w:numPr>
          <w:ilvl w:val="0"/>
          <w:numId w:val="1003"/>
        </w:numPr>
        <w:pStyle w:val="Compact"/>
      </w:pPr>
      <w:r>
        <w:rPr>
          <w:bCs/>
          <w:b/>
        </w:rPr>
        <w:t xml:space="preserve">In Vitro Testing:</w:t>
      </w:r>
      <w:r>
        <w:t xml:space="preserve"> </w:t>
      </w:r>
      <w:r>
        <w:t xml:space="preserve">Evaluation of device performance using simulated biological environments.</w:t>
      </w:r>
    </w:p>
    <w:p>
      <w:pPr>
        <w:numPr>
          <w:ilvl w:val="0"/>
          <w:numId w:val="1003"/>
        </w:numPr>
        <w:pStyle w:val="Compact"/>
      </w:pPr>
      <w:r>
        <w:rPr>
          <w:bCs/>
          <w:b/>
        </w:rPr>
        <w:t xml:space="preserve">Animal Testing:</w:t>
      </w:r>
      <w:r>
        <w:t xml:space="preserve"> </w:t>
      </w:r>
      <w:r>
        <w:t xml:space="preserve">If required, testing on animal models in accordance with Canadian Council on Animal Care (CCAC) guidelines.</w:t>
      </w:r>
    </w:p>
    <w:p>
      <w:pPr>
        <w:numPr>
          <w:ilvl w:val="0"/>
          <w:numId w:val="1003"/>
        </w:numPr>
        <w:pStyle w:val="Compact"/>
      </w:pPr>
      <w:r>
        <w:rPr>
          <w:bCs/>
          <w:b/>
        </w:rPr>
        <w:t xml:space="preserve">Human Testing:</w:t>
      </w:r>
      <w:r>
        <w:t xml:space="preserve"> </w:t>
      </w:r>
      <w:r>
        <w:t xml:space="preserve">Limited testing on healthy volunteers after obtaining informed consent and IRB approval.</w:t>
      </w:r>
    </w:p>
    <w:bookmarkEnd w:id="27"/>
    <w:bookmarkEnd w:id="28"/>
    <w:bookmarkStart w:id="29" w:name="data-collection-and-analysis"/>
    <w:p>
      <w:pPr>
        <w:pStyle w:val="Heading2"/>
      </w:pPr>
      <w:r>
        <w:t xml:space="preserve">6. Data Collection and Analysis</w:t>
      </w:r>
    </w:p>
    <w:p>
      <w:pPr>
        <w:pStyle w:val="FirstParagraph"/>
      </w:pPr>
      <w:r>
        <w:t xml:space="preserve">Data will be collected using standardized protocols and stored securely in compliance with Canadian privacy laws, including the Personal Information Protection and Electronic Documents Act (PIPEDA). Statistical analysis will be performed using validated software tools to ensure accuracy and reliability.</w:t>
      </w:r>
    </w:p>
    <w:bookmarkEnd w:id="29"/>
    <w:bookmarkStart w:id="30" w:name="risk-management"/>
    <w:p>
      <w:pPr>
        <w:pStyle w:val="Heading2"/>
      </w:pPr>
      <w:r>
        <w:t xml:space="preserve">7. Risk Management</w:t>
      </w:r>
    </w:p>
    <w:p>
      <w:pPr>
        <w:pStyle w:val="FirstParagraph"/>
      </w:pPr>
      <w:r>
        <w:t xml:space="preserve">A comprehensive risk assessment will be conducted to identify potential hazards associated with the device and the experimental procedures. Mitigation strategies will be implemented to minimize risks to participants, researchers, and the environment.</w:t>
      </w:r>
    </w:p>
    <w:bookmarkEnd w:id="30"/>
    <w:bookmarkStart w:id="31" w:name="ethical-considerations"/>
    <w:p>
      <w:pPr>
        <w:pStyle w:val="Heading2"/>
      </w:pPr>
      <w:r>
        <w:t xml:space="preserve">8. Ethical Considerations</w:t>
      </w:r>
    </w:p>
    <w:p>
      <w:pPr>
        <w:pStyle w:val="FirstParagraph"/>
      </w:pPr>
      <w:r>
        <w:t xml:space="preserve">The research will uphold the highest ethical standards, ensuring respect for participants, transparency in reporting, and accountability in decision-making. Informed consent will be obtained from all human participants, and their right to withdraw from the study at any time will be respected.</w:t>
      </w:r>
    </w:p>
    <w:bookmarkEnd w:id="31"/>
    <w:bookmarkStart w:id="32" w:name="roles-and-responsibilities"/>
    <w:p>
      <w:pPr>
        <w:pStyle w:val="Heading2"/>
      </w:pPr>
      <w:r>
        <w:t xml:space="preserve">9.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Principal Investigator</w:t>
            </w:r>
          </w:p>
        </w:tc>
        <w:tc>
          <w:tcPr/>
          <w:p>
            <w:pPr>
              <w:pStyle w:val="Compact"/>
              <w:jc w:val="left"/>
            </w:pPr>
            <w:r>
              <w:t xml:space="preserve">Oversee the entire project, ensure regulatory compliance, and report findings.</w:t>
            </w:r>
          </w:p>
        </w:tc>
      </w:tr>
      <w:tr>
        <w:tc>
          <w:tcPr/>
          <w:p>
            <w:pPr>
              <w:pStyle w:val="Compact"/>
              <w:jc w:val="left"/>
            </w:pPr>
            <w:r>
              <w:t xml:space="preserve">Biomedical Engineers</w:t>
            </w:r>
          </w:p>
        </w:tc>
        <w:tc>
          <w:tcPr/>
          <w:p>
            <w:pPr>
              <w:pStyle w:val="Compact"/>
              <w:jc w:val="left"/>
            </w:pPr>
            <w:r>
              <w:t xml:space="preserve">Design, fabricate, and test the device; analyze data.</w:t>
            </w:r>
          </w:p>
        </w:tc>
      </w:tr>
      <w:tr>
        <w:tc>
          <w:tcPr/>
          <w:p>
            <w:pPr>
              <w:pStyle w:val="Compact"/>
              <w:jc w:val="left"/>
            </w:pPr>
            <w:r>
              <w:t xml:space="preserve">Research Assistants</w:t>
            </w:r>
          </w:p>
        </w:tc>
        <w:tc>
          <w:tcPr/>
          <w:p>
            <w:pPr>
              <w:pStyle w:val="Compact"/>
              <w:jc w:val="left"/>
            </w:pPr>
            <w:r>
              <w:t xml:space="preserve">Support data collection, documentation, and administrative tasks.</w:t>
            </w:r>
          </w:p>
        </w:tc>
      </w:tr>
      <w:tr>
        <w:tc>
          <w:tcPr/>
          <w:p>
            <w:pPr>
              <w:pStyle w:val="Compact"/>
              <w:jc w:val="left"/>
            </w:pPr>
            <w:r>
              <w:t xml:space="preserve">Ethics Committee</w:t>
            </w:r>
          </w:p>
        </w:tc>
        <w:tc>
          <w:tcPr/>
          <w:p>
            <w:pPr>
              <w:pStyle w:val="Compact"/>
              <w:jc w:val="left"/>
            </w:pPr>
            <w:r>
              <w:t xml:space="preserve">Review and approve the protocol; monitor ethical compliance.</w:t>
            </w:r>
          </w:p>
        </w:tc>
      </w:tr>
    </w:tbl>
    <w:bookmarkEnd w:id="32"/>
    <w:bookmarkStart w:id="33" w:name="timeline"/>
    <w:p>
      <w:pPr>
        <w:pStyle w:val="Heading2"/>
      </w:pPr>
      <w:r>
        <w:t xml:space="preserve">10. Timeline</w:t>
      </w:r>
    </w:p>
    <w:p>
      <w:pPr>
        <w:pStyle w:val="FirstParagraph"/>
      </w:pPr>
      <w:r>
        <w:t xml:space="preserve">The experiment is scheduled to be completed within 18 months, with key milestones including:</w:t>
      </w:r>
    </w:p>
    <w:p>
      <w:pPr>
        <w:numPr>
          <w:ilvl w:val="0"/>
          <w:numId w:val="1004"/>
        </w:numPr>
        <w:pStyle w:val="Compact"/>
      </w:pPr>
      <w:r>
        <w:t xml:space="preserve">Month 1-3: Device design and prototyping.</w:t>
      </w:r>
    </w:p>
    <w:p>
      <w:pPr>
        <w:numPr>
          <w:ilvl w:val="0"/>
          <w:numId w:val="1004"/>
        </w:numPr>
        <w:pStyle w:val="Compact"/>
      </w:pPr>
      <w:r>
        <w:t xml:space="preserve">Month 4-6: In vitro testing.</w:t>
      </w:r>
    </w:p>
    <w:p>
      <w:pPr>
        <w:numPr>
          <w:ilvl w:val="0"/>
          <w:numId w:val="1004"/>
        </w:numPr>
        <w:pStyle w:val="Compact"/>
      </w:pPr>
      <w:r>
        <w:t xml:space="preserve">Month 7-9: Animal testing (if applicable).</w:t>
      </w:r>
    </w:p>
    <w:p>
      <w:pPr>
        <w:numPr>
          <w:ilvl w:val="0"/>
          <w:numId w:val="1004"/>
        </w:numPr>
        <w:pStyle w:val="Compact"/>
      </w:pPr>
      <w:r>
        <w:t xml:space="preserve">Month 10-15: Human testing.</w:t>
      </w:r>
    </w:p>
    <w:p>
      <w:pPr>
        <w:numPr>
          <w:ilvl w:val="0"/>
          <w:numId w:val="1004"/>
        </w:numPr>
        <w:pStyle w:val="Compact"/>
      </w:pPr>
      <w:r>
        <w:t xml:space="preserve">Month 16-18: Data analysis and reporting.</w:t>
      </w:r>
    </w:p>
    <w:bookmarkEnd w:id="33"/>
    <w:bookmarkStart w:id="34" w:name="conclusion"/>
    <w:p>
      <w:pPr>
        <w:pStyle w:val="Heading2"/>
      </w:pPr>
      <w:r>
        <w:t xml:space="preserve">11. Conclusion</w:t>
      </w:r>
    </w:p>
    <w:p>
      <w:pPr>
        <w:pStyle w:val="FirstParagraph"/>
      </w:pPr>
      <w:r>
        <w:t xml:space="preserve">This Experiment Protocol provides a structured framework for conducting biomedical engineering research in Montreal, Canada. By adhering to these guidelines, the Biomedical Engineer team aims to produce innovative solutions that enhance healthcare outcomes while maintaining the highest standards of safety, ethics, and regulatory compliance.</w:t>
      </w:r>
    </w:p>
    <w:bookmarkEnd w:id="34"/>
    <w:p>
      <w:pPr>
        <w:pStyle w:val="BodyText"/>
      </w:pPr>
      <w:r>
        <w:t xml:space="preserve">For further information, contact the Principal Investigator at [email protected] or visit our website at www.example-research.ca.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Canada Montreal</dc:title>
  <dc:creator/>
  <dc:language>en</dc:language>
  <cp:keywords/>
  <dcterms:created xsi:type="dcterms:W3CDTF">2026-10-10T06:16:14Z</dcterms:created>
  <dcterms:modified xsi:type="dcterms:W3CDTF">2026-10-10T06:16:14Z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