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Canada</w:t>
      </w:r>
      <w:r>
        <w:t xml:space="preserve"> </w:t>
      </w:r>
      <w:r>
        <w:t xml:space="preserve">Vancouver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Biocompatible Sensors for Continuous Glucose Monitoring</w:t>
      </w:r>
    </w:p>
    <w:p>
      <w:pPr>
        <w:pStyle w:val="BodyText"/>
      </w:pPr>
      <w:r>
        <w:rPr>
          <w:bCs/>
          <w:b/>
        </w:rPr>
        <w:t xml:space="preserve">Principal Investigator:</w:t>
      </w:r>
      <w:r>
        <w:t xml:space="preserve"> </w:t>
      </w:r>
      <w:r>
        <w:t xml:space="preserve">Dr. Elena Rossi, Biomedical Engineer</w:t>
      </w:r>
    </w:p>
    <w:p>
      <w:pPr>
        <w:pStyle w:val="BodyText"/>
      </w:pPr>
      <w:r>
        <w:rPr>
          <w:bCs/>
          <w:b/>
        </w:rPr>
        <w:t xml:space="preserve">Institution:</w:t>
      </w:r>
      <w:r>
        <w:t xml:space="preserve"> </w:t>
      </w:r>
      <w:r>
        <w:t xml:space="preserve">University of British Columbia, Vancouver, Canada</w:t>
      </w:r>
    </w:p>
    <w:p>
      <w:pPr>
        <w:pStyle w:val="BodyText"/>
      </w:pPr>
      <w:r>
        <w:rPr>
          <w:bCs/>
          <w:b/>
        </w:rPr>
        <w:t xml:space="preserve">Date:</w:t>
      </w:r>
      <w:r>
        <w:t xml:space="preserve"> </w:t>
      </w:r>
      <w:r>
        <w:t xml:space="preserve">October 15, 2023</w:t>
      </w:r>
    </w:p>
    <w:p>
      <w:pPr>
        <w:pStyle w:val="BodyText"/>
      </w:pPr>
      <w:r>
        <w:rPr>
          <w:bCs/>
          <w:b/>
        </w:rPr>
        <w:t xml:space="preserve">Protocol 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and methodologies for the evaluation of novel biocompatible sensors designed for continuous glucose monitoring (CGM). The research is conducted by a team of Biomedical Engineers at the University of British Columbia in Vancouver, Canada. The primary objective is to assess the accuracy, reliability, and safety of these sensors in a controlled laboratory environment before proceeding to clinical trials.</w:t>
      </w:r>
    </w:p>
    <w:p>
      <w:pPr>
        <w:pStyle w:val="BodyText"/>
      </w:pPr>
      <w:r>
        <w:t xml:space="preserve">The development of advanced CGM systems is critical for improving the management of diabetes, a condition that affects millions of individuals in Canada and globally. This study aims to contribute to the advancement of biomedical engineering technologies that enhance patient care and quality of life.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accuracy of the novel biocompatible sensors in measuring glucose levels in vitro.</w:t>
      </w:r>
    </w:p>
    <w:p>
      <w:pPr>
        <w:numPr>
          <w:ilvl w:val="0"/>
          <w:numId w:val="1001"/>
        </w:numPr>
        <w:pStyle w:val="Compact"/>
      </w:pPr>
      <w:r>
        <w:t xml:space="preserve">To assess the long-term stability and durability of the sensors under simulated physiological conditions.</w:t>
      </w:r>
    </w:p>
    <w:p>
      <w:pPr>
        <w:numPr>
          <w:ilvl w:val="0"/>
          <w:numId w:val="1001"/>
        </w:numPr>
        <w:pStyle w:val="Compact"/>
      </w:pPr>
      <w:r>
        <w:t xml:space="preserve">To determine the biocompatibility of the sensor materials through cytotoxicity assays.</w:t>
      </w:r>
    </w:p>
    <w:p>
      <w:pPr>
        <w:numPr>
          <w:ilvl w:val="0"/>
          <w:numId w:val="1001"/>
        </w:numPr>
        <w:pStyle w:val="Compact"/>
      </w:pPr>
      <w:r>
        <w:t xml:space="preserve">To compare the performance of the novel sensors with commercially available CGM devices.</w:t>
      </w:r>
    </w:p>
    <w:bookmarkEnd w:id="22"/>
    <w:bookmarkStart w:id="27" w:name="methodology"/>
    <w:p>
      <w:pPr>
        <w:pStyle w:val="Heading2"/>
      </w:pPr>
      <w:r>
        <w:t xml:space="preserve">3. Methodology</w:t>
      </w:r>
    </w:p>
    <w:bookmarkStart w:id="23" w:name="sensor-preparation"/>
    <w:p>
      <w:pPr>
        <w:pStyle w:val="Heading3"/>
      </w:pPr>
      <w:r>
        <w:t xml:space="preserve">3.1. Sensor Preparation</w:t>
      </w:r>
    </w:p>
    <w:p>
      <w:pPr>
        <w:pStyle w:val="FirstParagraph"/>
      </w:pPr>
      <w:r>
        <w:t xml:space="preserve">The novel biocompatible sensors will be fabricated using a combination of nanomaterials and hydrogels. The fabrication process will be carried out in a cleanroom facility to ensure minimal contamination. Each sensor will undergo rigorous quality control checks to verify its structural integrity and functional properties.</w:t>
      </w:r>
    </w:p>
    <w:bookmarkEnd w:id="23"/>
    <w:bookmarkStart w:id="24" w:name="in-vitro-testing"/>
    <w:p>
      <w:pPr>
        <w:pStyle w:val="Heading3"/>
      </w:pPr>
      <w:r>
        <w:t xml:space="preserve">3.2. In Vitro Testing</w:t>
      </w:r>
    </w:p>
    <w:p>
      <w:pPr>
        <w:pStyle w:val="FirstParagraph"/>
      </w:pPr>
      <w:r>
        <w:t xml:space="preserve">The sensors will be tested in a simulated physiological environment using a glucose solution with varying concentrations. The accuracy of the sensors will be evaluated by comparing their readings with those obtained from a reference glucose analyzer. The testing will be conducted over a period of 72 hours to assess the long-term stability of the sensors.</w:t>
      </w:r>
    </w:p>
    <w:bookmarkEnd w:id="24"/>
    <w:bookmarkStart w:id="25" w:name="biocompatibility-assessment"/>
    <w:p>
      <w:pPr>
        <w:pStyle w:val="Heading3"/>
      </w:pPr>
      <w:r>
        <w:t xml:space="preserve">3.3. Biocompatibility Assessment</w:t>
      </w:r>
    </w:p>
    <w:p>
      <w:pPr>
        <w:pStyle w:val="FirstParagraph"/>
      </w:pPr>
      <w:r>
        <w:t xml:space="preserve">The biocompatibility of the sensor materials will be assessed using cytotoxicity assays. Human fibroblast cells will be cultured in the presence of the sensor materials, and cell viability will be measured using the MTT assay. The results will be compared with those obtained from a control group to determine the biocompatibility of the materials.</w:t>
      </w:r>
    </w:p>
    <w:bookmarkEnd w:id="25"/>
    <w:bookmarkStart w:id="26" w:name="comparative-analysis"/>
    <w:p>
      <w:pPr>
        <w:pStyle w:val="Heading3"/>
      </w:pPr>
      <w:r>
        <w:t xml:space="preserve">3.4. Comparative Analysis</w:t>
      </w:r>
    </w:p>
    <w:p>
      <w:pPr>
        <w:pStyle w:val="FirstParagraph"/>
      </w:pPr>
      <w:r>
        <w:t xml:space="preserve">The performance of the novel sensors will be compared with commercially available CGM devices. The comparison will be based on accuracy, response time, and long-term stability. The results will be analyzed using statistical methods to determine the significance of any differences observed.</w:t>
      </w:r>
    </w:p>
    <w:bookmarkEnd w:id="26"/>
    <w:bookmarkEnd w:id="27"/>
    <w:bookmarkStart w:id="28" w:name="ethical-considerations"/>
    <w:p>
      <w:pPr>
        <w:pStyle w:val="Heading2"/>
      </w:pPr>
      <w:r>
        <w:t xml:space="preserve">4. Ethical Considerations</w:t>
      </w:r>
    </w:p>
    <w:p>
      <w:pPr>
        <w:pStyle w:val="FirstParagraph"/>
      </w:pPr>
      <w:r>
        <w:t xml:space="preserve">This study adheres to the ethical guidelines established by the Tri-Council Policy Statement: Ethical Conduct for Research Involving Humans (TCPS 2) in Canada. The research protocol has been reviewed and approved by the University of British Columbia's Clinical Research Ethics Board (CREB). All procedures involving biological materials will be conducted in accordance with the guidelines set forth by the Canadian Council on Animal Care (CCAC), where applicable.</w:t>
      </w:r>
    </w:p>
    <w:p>
      <w:pPr>
        <w:pStyle w:val="BodyText"/>
      </w:pPr>
      <w:r>
        <w:t xml:space="preserve">Confidentiality and data protection measures will be implemented to ensure the privacy and security of all data collected during the study. The research team is committed to maintaining the highest standards of ethical conduct throughout the duration of the experiment.</w:t>
      </w:r>
    </w:p>
    <w:bookmarkEnd w:id="28"/>
    <w:bookmarkStart w:id="29" w:name="data-collection-and-analysis"/>
    <w:p>
      <w:pPr>
        <w:pStyle w:val="Heading2"/>
      </w:pPr>
      <w:r>
        <w:t xml:space="preserve">5. Data Collection and Analysis</w:t>
      </w:r>
    </w:p>
    <w:p>
      <w:pPr>
        <w:pStyle w:val="FirstParagraph"/>
      </w:pPr>
      <w:r>
        <w:t xml:space="preserve">Data will be collected using automated data logging systems to ensure accuracy and consistency. The data will be analyzed using statistical software to determine the accuracy, reliability, and biocompatibility of the novel sensors. The results will be presented in the form of graphs, tables, and statistical summaries.</w:t>
      </w:r>
    </w:p>
    <w:p>
      <w:pPr>
        <w:pStyle w:val="BodyText"/>
      </w:pPr>
      <w:r>
        <w:t xml:space="preserve">The analysis will include:</w:t>
      </w:r>
    </w:p>
    <w:p>
      <w:pPr>
        <w:numPr>
          <w:ilvl w:val="0"/>
          <w:numId w:val="1002"/>
        </w:numPr>
        <w:pStyle w:val="Compact"/>
      </w:pPr>
      <w:r>
        <w:t xml:space="preserve">Calculation of mean absolute relative difference (MARD) to assess accuracy.</w:t>
      </w:r>
    </w:p>
    <w:p>
      <w:pPr>
        <w:numPr>
          <w:ilvl w:val="0"/>
          <w:numId w:val="1002"/>
        </w:numPr>
        <w:pStyle w:val="Compact"/>
      </w:pPr>
      <w:r>
        <w:t xml:space="preserve">Statistical tests to compare the performance of the novel sensors with commercially available devices.</w:t>
      </w:r>
    </w:p>
    <w:p>
      <w:pPr>
        <w:numPr>
          <w:ilvl w:val="0"/>
          <w:numId w:val="1002"/>
        </w:numPr>
        <w:pStyle w:val="Compact"/>
      </w:pPr>
      <w:r>
        <w:t xml:space="preserve">Assessment of cell viability to determine biocompatibility.</w:t>
      </w:r>
    </w:p>
    <w:bookmarkEnd w:id="29"/>
    <w:bookmarkStart w:id="30" w:name="timeline"/>
    <w:p>
      <w:pPr>
        <w:pStyle w:val="Heading2"/>
      </w:pPr>
      <w:r>
        <w:t xml:space="preserve">6. Timeline</w:t>
      </w:r>
    </w:p>
    <w:p>
      <w:pPr>
        <w:pStyle w:val="FirstParagraph"/>
      </w:pPr>
      <w:r>
        <w:t xml:space="preserve">The experiment is scheduled to be conducted over a period of six months, with the following timeline:</w:t>
      </w:r>
    </w:p>
    <w:p>
      <w:pPr>
        <w:numPr>
          <w:ilvl w:val="0"/>
          <w:numId w:val="1003"/>
        </w:numPr>
        <w:pStyle w:val="Compact"/>
      </w:pPr>
      <w:r>
        <w:rPr>
          <w:bCs/>
          <w:b/>
        </w:rPr>
        <w:t xml:space="preserve">Month 1:</w:t>
      </w:r>
      <w:r>
        <w:t xml:space="preserve"> </w:t>
      </w:r>
      <w:r>
        <w:t xml:space="preserve">Sensor fabrication and quality control.</w:t>
      </w:r>
    </w:p>
    <w:p>
      <w:pPr>
        <w:numPr>
          <w:ilvl w:val="0"/>
          <w:numId w:val="1003"/>
        </w:numPr>
        <w:pStyle w:val="Compact"/>
      </w:pPr>
      <w:r>
        <w:rPr>
          <w:bCs/>
          <w:b/>
        </w:rPr>
        <w:t xml:space="preserve">Month 2-3:</w:t>
      </w:r>
      <w:r>
        <w:t xml:space="preserve"> </w:t>
      </w:r>
      <w:r>
        <w:t xml:space="preserve">In vitro testing and data collection.</w:t>
      </w:r>
    </w:p>
    <w:p>
      <w:pPr>
        <w:numPr>
          <w:ilvl w:val="0"/>
          <w:numId w:val="1003"/>
        </w:numPr>
        <w:pStyle w:val="Compact"/>
      </w:pPr>
      <w:r>
        <w:rPr>
          <w:bCs/>
          <w:b/>
        </w:rPr>
        <w:t xml:space="preserve">Month 4:</w:t>
      </w:r>
      <w:r>
        <w:t xml:space="preserve"> </w:t>
      </w:r>
      <w:r>
        <w:t xml:space="preserve">Biocompatibility assessment.</w:t>
      </w:r>
    </w:p>
    <w:p>
      <w:pPr>
        <w:numPr>
          <w:ilvl w:val="0"/>
          <w:numId w:val="1003"/>
        </w:numPr>
        <w:pStyle w:val="Compact"/>
      </w:pPr>
      <w:r>
        <w:rPr>
          <w:bCs/>
          <w:b/>
        </w:rPr>
        <w:t xml:space="preserve">Month 5:</w:t>
      </w:r>
      <w:r>
        <w:t xml:space="preserve"> </w:t>
      </w:r>
      <w:r>
        <w:t xml:space="preserve">Comparative analysis and data analysis.</w:t>
      </w:r>
    </w:p>
    <w:p>
      <w:pPr>
        <w:numPr>
          <w:ilvl w:val="0"/>
          <w:numId w:val="1003"/>
        </w:numPr>
        <w:pStyle w:val="Compact"/>
      </w:pPr>
      <w:r>
        <w:rPr>
          <w:bCs/>
          <w:b/>
        </w:rPr>
        <w:t xml:space="preserve">Month 6:</w:t>
      </w:r>
      <w:r>
        <w:t xml:space="preserve"> </w:t>
      </w:r>
      <w:r>
        <w:t xml:space="preserve">Reporting and dissemination of results.</w:t>
      </w:r>
    </w:p>
    <w:bookmarkEnd w:id="30"/>
    <w:bookmarkStart w:id="31" w:name="conclusion"/>
    <w:p>
      <w:pPr>
        <w:pStyle w:val="Heading2"/>
      </w:pPr>
      <w:r>
        <w:t xml:space="preserve">7. Conclusion</w:t>
      </w:r>
    </w:p>
    <w:p>
      <w:pPr>
        <w:pStyle w:val="FirstParagraph"/>
      </w:pPr>
      <w:r>
        <w:t xml:space="preserve">This Experiment Protocol provides a comprehensive framework for the evaluation of novel biocompatible sensors for continuous glucose monitoring. The research, conducted by Biomedical Engineers in Vancouver, Canada, aims to contribute to the advancement of biomedical technologies that improve patient care and quality of life. The findings of this study will be disseminated through scientific publications and presentations at relevant conferences.</w:t>
      </w:r>
    </w:p>
    <w:bookmarkEnd w:id="31"/>
    <w:p>
      <w:pPr>
        <w:pStyle w:val="BodyText"/>
      </w:pPr>
      <w:r>
        <w:rPr>
          <w:bCs/>
          <w:b/>
        </w:rPr>
        <w:t xml:space="preserve">Principal Investigator:</w:t>
      </w:r>
    </w:p>
    <w:p>
      <w:pPr>
        <w:pStyle w:val="BodyText"/>
      </w:pPr>
      <w:r>
        <w:t xml:space="preserve">__________________________</w:t>
      </w:r>
    </w:p>
    <w:p>
      <w:pPr>
        <w:pStyle w:val="BodyText"/>
      </w:pPr>
      <w:r>
        <w:t xml:space="preserve">Dr. Elena Rossi, Biomedical Engineer</w:t>
      </w:r>
    </w:p>
    <w:p>
      <w:pPr>
        <w:pStyle w:val="BodyText"/>
      </w:pPr>
      <w:r>
        <w:t xml:space="preserve">University of British Columbia, Vancouver, Canada</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Canada Vancouver</dc:title>
  <dc:creator/>
  <dc:language>en</dc:language>
  <cp:keywords/>
  <dcterms:created xsi:type="dcterms:W3CDTF">2026-10-10T04:28:25Z</dcterms:created>
  <dcterms:modified xsi:type="dcterms:W3CDTF">2026-10-10T04:28:25Z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