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Guangzhou</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Signal Integrity in Next-Generation Neural Interfaces</w:t>
      </w:r>
    </w:p>
    <w:p>
      <w:pPr>
        <w:pStyle w:val="BodyText"/>
      </w:pPr>
      <w:r>
        <w:rPr>
          <w:bCs/>
          <w:b/>
        </w:rPr>
        <w:t xml:space="preserve">Location:</w:t>
      </w:r>
      <w:r>
        <w:t xml:space="preserve"> </w:t>
      </w:r>
      <w:r>
        <w:t xml:space="preserve">Guangzhou International Biomedical Innovation Center, Guangzhou, China</w:t>
      </w:r>
    </w:p>
    <w:p>
      <w:pPr>
        <w:pStyle w:val="BodyText"/>
      </w:pPr>
      <w:r>
        <w:rPr>
          <w:bCs/>
          <w:b/>
        </w:rPr>
        <w:t xml:space="preserve">Principal Investigator:</w:t>
      </w:r>
      <w:r>
        <w:t xml:space="preserve"> </w:t>
      </w:r>
      <w:r>
        <w:t xml:space="preserve">Lead Biomedical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standardized procedures for the pre-clinical evaluation of a novel flexible neural interface device. The research is conducted by a team of Biomedical Engineers operating within the regulatory and environmental framework of China Guangzhou. The primary objective is to assess the long-term biocompatibility, mechanical stability, and electrical signal fidelity of the device when interfaced with neural tissue.</w:t>
      </w:r>
    </w:p>
    <w:p>
      <w:pPr>
        <w:pStyle w:val="BodyText"/>
      </w:pPr>
      <w:r>
        <w:t xml:space="preserve">As a hub for medical technology in Southern China, Guangzhou offers unique environmental conditions and regulatory standards that must be strictly adhered to. This protocol ensures that all experimental data collected is reproducible, ethically sound, and compliant with the National Medical Products Administration (NMPA) guidelines. The Biomedical Engineer is responsible for overseeing the fabrication, testing, and data analysis phases to ensure the device meets the rigorous safety standards required for future clinical trials in the region.</w:t>
      </w:r>
    </w:p>
    <w:p>
      <w:pPr>
        <w:pStyle w:val="BodyText"/>
      </w:pPr>
      <w:r>
        <w:t xml:space="preserve">2. Scope and Regulatory Compliance</w:t>
      </w:r>
    </w:p>
    <w:p>
      <w:pPr>
        <w:pStyle w:val="BodyText"/>
      </w:pPr>
      <w:r>
        <w:t xml:space="preserve">This protocol applies to all laboratory activities conducted at the Guangzhou facility. The Biomedical Engineer must ensure compliance with the following:</w:t>
      </w:r>
    </w:p>
    <w:p>
      <w:pPr>
        <w:numPr>
          <w:ilvl w:val="0"/>
          <w:numId w:val="1001"/>
        </w:numPr>
        <w:pStyle w:val="Compact"/>
      </w:pPr>
      <w:r>
        <w:rPr>
          <w:bCs/>
          <w:b/>
        </w:rPr>
        <w:t xml:space="preserve">NMPA Regulations:</w:t>
      </w:r>
      <w:r>
        <w:t xml:space="preserve"> </w:t>
      </w:r>
      <w:r>
        <w:t xml:space="preserve">Adherence to the "Good Laboratory Practice for Non-Clinical Laboratory Safety Management" issued by the Chinese government.</w:t>
      </w:r>
    </w:p>
    <w:p>
      <w:pPr>
        <w:numPr>
          <w:ilvl w:val="0"/>
          <w:numId w:val="1001"/>
        </w:numPr>
        <w:pStyle w:val="Compact"/>
      </w:pPr>
      <w:r>
        <w:rPr>
          <w:bCs/>
          <w:b/>
        </w:rPr>
        <w:t xml:space="preserve">GB Standards:</w:t>
      </w:r>
      <w:r>
        <w:t xml:space="preserve"> </w:t>
      </w:r>
      <w:r>
        <w:t xml:space="preserve">Compliance with relevant Chinese National Standards (GB) regarding medical device testing, specifically GB/T 16886 for biological evaluation of medical devices.</w:t>
      </w:r>
    </w:p>
    <w:p>
      <w:pPr>
        <w:numPr>
          <w:ilvl w:val="0"/>
          <w:numId w:val="1001"/>
        </w:numPr>
        <w:pStyle w:val="Compact"/>
      </w:pPr>
      <w:r>
        <w:rPr>
          <w:bCs/>
          <w:b/>
        </w:rPr>
        <w:t xml:space="preserve">Ethical Review:</w:t>
      </w:r>
      <w:r>
        <w:t xml:space="preserve"> </w:t>
      </w:r>
      <w:r>
        <w:t xml:space="preserve">All animal models used in this study must be approved by the Institutional Animal Care and Use Committee (IACUC) of the host institution in Guangzhou.</w:t>
      </w:r>
    </w:p>
    <w:p>
      <w:pPr>
        <w:pStyle w:val="FirstParagraph"/>
      </w:pPr>
      <w:r>
        <w:t xml:space="preserve">The specific environmental conditions of Guangzhou, characterized by high humidity and temperature, are considered critical variables. The Biomedical Engineer must account for these factors in the storage of materials and the calibration of sensitive electronic equipment to prevent data drift or material degradation.</w:t>
      </w:r>
    </w:p>
    <w:p>
      <w:pPr>
        <w:pStyle w:val="BodyText"/>
      </w:pPr>
      <w:r>
        <w:t xml:space="preserve">3. Materials and Equipment</w:t>
      </w:r>
    </w:p>
    <w:p>
      <w:pPr>
        <w:pStyle w:val="BodyText"/>
      </w:pPr>
      <w:r>
        <w:t xml:space="preserve">The following materials and equipment are required for the execution of this Experiment Protocol. All items must be inspected by the Biomedical Engineer prior to use.</w:t>
      </w:r>
    </w:p>
    <w:p>
      <w:pPr>
        <w:pStyle w:val="BodyText"/>
      </w:pPr>
      <w:r>
        <w:t xml:space="preserve">Item</w:t>
      </w:r>
    </w:p>
    <w:p>
      <w:pPr>
        <w:pStyle w:val="BodyText"/>
      </w:pPr>
      <w:r>
        <w:t xml:space="preserve">Specification</w:t>
      </w:r>
    </w:p>
    <w:p>
      <w:pPr>
        <w:pStyle w:val="BodyText"/>
      </w:pPr>
      <w:r>
        <w:t xml:space="preserve">Quantity</w:t>
      </w:r>
    </w:p>
    <w:p>
      <w:pPr>
        <w:pStyle w:val="BodyText"/>
      </w:pPr>
      <w:r>
        <w:t xml:space="preserve">Neural Interface Prototype</w:t>
      </w:r>
    </w:p>
    <w:p>
      <w:pPr>
        <w:pStyle w:val="BodyText"/>
      </w:pPr>
      <w:r>
        <w:t xml:space="preserve">Polyimide-based flexible electrode array</w:t>
      </w:r>
    </w:p>
    <w:p>
      <w:pPr>
        <w:pStyle w:val="BodyText"/>
      </w:pPr>
      <w:r>
        <w:t xml:space="preserve">20 units</w:t>
      </w:r>
    </w:p>
    <w:p>
      <w:pPr>
        <w:pStyle w:val="BodyText"/>
      </w:pPr>
      <w:r>
        <w:t xml:space="preserve">Animal Model</w:t>
      </w:r>
    </w:p>
    <w:p>
      <w:pPr>
        <w:pStyle w:val="BodyText"/>
      </w:pPr>
      <w:r>
        <w:t xml:space="preserve">SD Rats (Sprague-Dawley), 200-250g</w:t>
      </w:r>
    </w:p>
    <w:p>
      <w:pPr>
        <w:pStyle w:val="BodyText"/>
      </w:pPr>
      <w:r>
        <w:t xml:space="preserve">10 subjects</w:t>
      </w:r>
    </w:p>
    <w:p>
      <w:pPr>
        <w:pStyle w:val="BodyText"/>
      </w:pPr>
      <w:r>
        <w:t xml:space="preserve">Signal Acquisition System</w:t>
      </w:r>
    </w:p>
    <w:p>
      <w:pPr>
        <w:pStyle w:val="BodyText"/>
      </w:pPr>
      <w:r>
        <w:t xml:space="preserve">High-impedance amplifier, 24-bit resolution</w:t>
      </w:r>
    </w:p>
    <w:p>
      <w:pPr>
        <w:pStyle w:val="BodyText"/>
      </w:pPr>
      <w:r>
        <w:t xml:space="preserve">1 unit</w:t>
      </w:r>
    </w:p>
    <w:p>
      <w:pPr>
        <w:pStyle w:val="BodyText"/>
      </w:pPr>
      <w:r>
        <w:t xml:space="preserve">Environmental Chamber</w:t>
      </w:r>
    </w:p>
    <w:p>
      <w:pPr>
        <w:pStyle w:val="BodyText"/>
      </w:pPr>
      <w:r>
        <w:t xml:space="preserve">Controlled Temp/Humidity (Simulating Guangzhou avg.)</w:t>
      </w:r>
    </w:p>
    <w:p>
      <w:pPr>
        <w:pStyle w:val="BodyText"/>
      </w:pPr>
      <w:r>
        <w:t xml:space="preserve">1 unit</w:t>
      </w:r>
    </w:p>
    <w:p>
      <w:pPr>
        <w:pStyle w:val="BodyText"/>
      </w:pPr>
      <w:r>
        <w:t xml:space="preserve">Sterile Surgical Kit</w:t>
      </w:r>
    </w:p>
    <w:p>
      <w:pPr>
        <w:pStyle w:val="BodyText"/>
      </w:pPr>
      <w:r>
        <w:t xml:space="preserve">Standard neurosurgical instruments</w:t>
      </w:r>
    </w:p>
    <w:p>
      <w:pPr>
        <w:pStyle w:val="BodyText"/>
      </w:pPr>
      <w:r>
        <w:t xml:space="preserve">2 sets</w:t>
      </w:r>
    </w:p>
    <w:p>
      <w:pPr>
        <w:pStyle w:val="BodyText"/>
      </w:pPr>
      <w:r>
        <w:t xml:space="preserve">4. Methodology</w:t>
      </w:r>
    </w:p>
    <w:bookmarkStart w:id="21" w:name="device-preparation"/>
    <w:p>
      <w:pPr>
        <w:pStyle w:val="Heading3"/>
      </w:pPr>
      <w:r>
        <w:t xml:space="preserve">4.1 Device Preparation</w:t>
      </w:r>
    </w:p>
    <w:p>
      <w:pPr>
        <w:pStyle w:val="FirstParagraph"/>
      </w:pPr>
      <w:r>
        <w:t xml:space="preserve">The Biomedical Engineer shall perform electrical characterization of each neural interface prototype. This includes measuring impedance spectroscopy (1Hz - 1MHz) and charge injection limits. Devices must be sterilized using Ethylene Oxide (EtO) gas, a method preferred in China Guangzhou for heat-sensitive polymers, ensuring no residual toxicity remains.</w:t>
      </w:r>
    </w:p>
    <w:bookmarkEnd w:id="21"/>
    <w:bookmarkStart w:id="22" w:name="surgical-implantation"/>
    <w:p>
      <w:pPr>
        <w:pStyle w:val="Heading3"/>
      </w:pPr>
      <w:r>
        <w:t xml:space="preserve">4.2 Surgical Implantation</w:t>
      </w:r>
    </w:p>
    <w:p>
      <w:pPr>
        <w:pStyle w:val="FirstParagraph"/>
      </w:pPr>
      <w:r>
        <w:t xml:space="preserve">Under general anesthesia, the neural interface will be implanted into the motor cortex of the animal model. The surgical procedure must follow aseptic techniques. The Biomedical Engineer will verify the placement of the electrodes using intraoperative electrophysiological mapping to ensure optimal contact with the target neural tissue.</w:t>
      </w:r>
    </w:p>
    <w:bookmarkEnd w:id="22"/>
    <w:bookmarkStart w:id="23" w:name="data-acquisition"/>
    <w:p>
      <w:pPr>
        <w:pStyle w:val="Heading3"/>
      </w:pPr>
      <w:r>
        <w:t xml:space="preserve">4.3 Data Acquisition</w:t>
      </w:r>
    </w:p>
    <w:p>
      <w:pPr>
        <w:pStyle w:val="FirstParagraph"/>
      </w:pPr>
      <w:r>
        <w:t xml:space="preserve">Post-implantation, neural signals will be recorded continuously for a period of 28 days. The Biomedical Engineer must monitor the signal-to-noise ratio (SNR) daily. Special attention must be paid to the effects of the local climate; the laboratory environment in Guangzhou must be maintained at a constant 22°C ± 2°C and 45% ± 5% relative humidity to isolate biological variables from environmental noise.</w:t>
      </w:r>
    </w:p>
    <w:bookmarkEnd w:id="23"/>
    <w:bookmarkStart w:id="24" w:name="histological-analysis"/>
    <w:p>
      <w:pPr>
        <w:pStyle w:val="Heading3"/>
      </w:pPr>
      <w:r>
        <w:t xml:space="preserve">4.4 Histological Analysis</w:t>
      </w:r>
    </w:p>
    <w:p>
      <w:pPr>
        <w:pStyle w:val="FirstParagraph"/>
      </w:pPr>
      <w:r>
        <w:t xml:space="preserve">At the conclusion of the 28-day period, the tissue surrounding the implant will be harvested. The Biomedical Engineer will collaborate with pathologists to analyze the tissue for signs of inflammation, gliosis, or necrosis, in accordance with ISO 10993-6 standards adapted for local Chinese regulatory requirements.</w:t>
      </w:r>
    </w:p>
    <w:bookmarkEnd w:id="24"/>
    <w:p>
      <w:pPr>
        <w:pStyle w:val="BodyText"/>
      </w:pPr>
      <w:r>
        <w:t xml:space="preserve">5. Risk Management and Safety</w:t>
      </w:r>
    </w:p>
    <w:p>
      <w:pPr>
        <w:pStyle w:val="BodyText"/>
      </w:pPr>
      <w:r>
        <w:t xml:space="preserve">The Biomedical Engineer is responsible for identifying and mitigating risks associated with this Experiment Protocol. Key risks include:</w:t>
      </w:r>
    </w:p>
    <w:p>
      <w:pPr>
        <w:numPr>
          <w:ilvl w:val="0"/>
          <w:numId w:val="1002"/>
        </w:numPr>
        <w:pStyle w:val="Compact"/>
      </w:pPr>
      <w:r>
        <w:rPr>
          <w:bCs/>
          <w:b/>
        </w:rPr>
        <w:t xml:space="preserve">Electrical Safety:</w:t>
      </w:r>
      <w:r>
        <w:t xml:space="preserve"> </w:t>
      </w:r>
      <w:r>
        <w:t xml:space="preserve">Ensuring all recording equipment is properly grounded to prevent micro-shocks to the animal subjects.</w:t>
      </w:r>
    </w:p>
    <w:p>
      <w:pPr>
        <w:numPr>
          <w:ilvl w:val="0"/>
          <w:numId w:val="1002"/>
        </w:numPr>
        <w:pStyle w:val="Compact"/>
      </w:pPr>
      <w:r>
        <w:rPr>
          <w:bCs/>
          <w:b/>
        </w:rPr>
        <w:t xml:space="preserve">Biohazard:</w:t>
      </w:r>
      <w:r>
        <w:t xml:space="preserve"> </w:t>
      </w:r>
      <w:r>
        <w:t xml:space="preserve">Proper disposal of biological waste according to Guangzhou municipal health regulations.</w:t>
      </w:r>
    </w:p>
    <w:p>
      <w:pPr>
        <w:numPr>
          <w:ilvl w:val="0"/>
          <w:numId w:val="1002"/>
        </w:numPr>
        <w:pStyle w:val="Compact"/>
      </w:pPr>
      <w:r>
        <w:rPr>
          <w:bCs/>
          <w:b/>
        </w:rPr>
        <w:t xml:space="preserve">Data Integrity:</w:t>
      </w:r>
      <w:r>
        <w:t xml:space="preserve"> </w:t>
      </w:r>
      <w:r>
        <w:t xml:space="preserve">Implementing redundant data storage systems to prevent loss of critical experimental data.</w:t>
      </w:r>
    </w:p>
    <w:p>
      <w:pPr>
        <w:pStyle w:val="FirstParagraph"/>
      </w:pPr>
      <w:r>
        <w:t xml:space="preserve">6. Data Analysis and Reporting</w:t>
      </w:r>
    </w:p>
    <w:p>
      <w:pPr>
        <w:pStyle w:val="BodyText"/>
      </w:pPr>
      <w:r>
        <w:t xml:space="preserve">All data collected during the experiment will be analyzed using statistical software. The Biomedical Engineer will generate a comprehensive report detailing the biocompatibility and performance metrics of the device. This report will serve as a foundational document for regulatory submission to the NMPA. The findings will be documented in English and Chinese to facilitate collaboration with local authorities and international partners.</w:t>
      </w:r>
    </w:p>
    <w:p>
      <w:pPr>
        <w:pStyle w:val="BodyText"/>
      </w:pPr>
      <w:r>
        <w:t xml:space="preserve">7. Signatures</w:t>
      </w:r>
    </w:p>
    <w:p>
      <w:pPr>
        <w:pStyle w:val="BodyText"/>
      </w:pPr>
      <w:r>
        <w:t xml:space="preserve">By signing below, the undersigned acknowledge that they have read and understood this Experiment Protocol and agree to adhere to the procedures outlined herein.</w:t>
      </w:r>
    </w:p>
    <w:p>
      <w:pPr>
        <w:pStyle w:val="BodyText"/>
      </w:pPr>
      <w:r>
        <w:rPr>
          <w:bCs/>
          <w:b/>
        </w:rPr>
        <w:t xml:space="preserve">Principal Biomedical Engineer:</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Regulatory Compliance Officer (Guangzhou):</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Document ID: EXP-GZ-BME-2023-001 | Confidential | For Internal Use Only</w:t>
      </w:r>
      <w:r>
        <w:br/>
      </w:r>
      <w:r>
        <w:t xml:space="preserve">This document is the property of the Guangzhou Biomedical Engineering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Guangzhou</dc:title>
  <dc:creator/>
  <dc:language>en</dc:language>
  <cp:keywords/>
  <dcterms:created xsi:type="dcterms:W3CDTF">2026-10-10T03:34:40Z</dcterms:created>
  <dcterms:modified xsi:type="dcterms:W3CDTF">2026-10-10T03:34:40Z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