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Biomedical Device Performance Under Local Environmental Conditions</w:t>
      </w:r>
    </w:p>
    <w:p>
      <w:pPr>
        <w:pStyle w:val="BodyText"/>
      </w:pPr>
      <w:r>
        <w:rPr>
          <w:bCs/>
          <w:b/>
        </w:rPr>
        <w:t xml:space="preserve">Location:</w:t>
      </w:r>
      <w:r>
        <w:t xml:space="preserve"> </w:t>
      </w:r>
      <w:r>
        <w:t xml:space="preserve">Egypt Alexandria</w:t>
      </w:r>
    </w:p>
    <w:p>
      <w:pPr>
        <w:pStyle w:val="BodyText"/>
      </w:pPr>
      <w:r>
        <w:rPr>
          <w:bCs/>
          <w:b/>
        </w:rPr>
        <w:t xml:space="preserve">Discipline:</w:t>
      </w:r>
      <w:r>
        <w:t xml:space="preserve"> </w:t>
      </w:r>
      <w:r>
        <w:t xml:space="preserve">Biomedical Engineering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testing and evaluating biomedical devices in the context of Egypt Alexandria. The primary objective is to ensure that biomedical engineering solutions are robust, reliable, and safe under the specific environmental and operational conditions found in this region. Alexandria, with its unique climate and healthcare infrastructure, presents distinct challenges and opportunities for biomedical engineers. This protocol is designed to guide researchers and practitioners in conducting rigorous experiments that align with international standards while addressing local needs.</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performance of biomedical devices under the climatic conditions of Egypt Alexandria, including high humidity and temperature fluctuations.</w:t>
      </w:r>
    </w:p>
    <w:p>
      <w:pPr>
        <w:numPr>
          <w:ilvl w:val="0"/>
          <w:numId w:val="1001"/>
        </w:numPr>
        <w:pStyle w:val="Compact"/>
      </w:pPr>
      <w:r>
        <w:t xml:space="preserve">To evaluate the compatibility of devices with local power supply systems and infrastructure.</w:t>
      </w:r>
    </w:p>
    <w:p>
      <w:pPr>
        <w:numPr>
          <w:ilvl w:val="0"/>
          <w:numId w:val="1001"/>
        </w:numPr>
        <w:pStyle w:val="Compact"/>
      </w:pPr>
      <w:r>
        <w:t xml:space="preserve">To ensure compliance with Egyptian regulatory standards and international biomedical engineering guidelines.</w:t>
      </w:r>
    </w:p>
    <w:p>
      <w:pPr>
        <w:numPr>
          <w:ilvl w:val="0"/>
          <w:numId w:val="1001"/>
        </w:numPr>
        <w:pStyle w:val="Compact"/>
      </w:pPr>
      <w:r>
        <w:t xml:space="preserve">To identify potential risks and develop mitigation strategies for device deployment in healthcare facilities in Alexandria.</w:t>
      </w:r>
    </w:p>
    <w:bookmarkEnd w:id="22"/>
    <w:bookmarkStart w:id="23" w:name="scope"/>
    <w:p>
      <w:pPr>
        <w:pStyle w:val="Heading2"/>
      </w:pPr>
      <w:r>
        <w:t xml:space="preserve">3. Scope</w:t>
      </w:r>
    </w:p>
    <w:p>
      <w:pPr>
        <w:pStyle w:val="FirstParagraph"/>
      </w:pPr>
      <w:r>
        <w:t xml:space="preserve">This protocol applies to all biomedical devices intended for use in clinical or research settings in Egypt Alexandria. It covers devices such as diagnostic equipment, monitoring systems, and therapeutic tools. The scope includes pre-deployment testing, in-situ evaluation, and post-deployment monitoring. All experiments must be conducted by qualified biomedical engineers adhering to ethical and safety standards.</w:t>
      </w:r>
    </w:p>
    <w:bookmarkEnd w:id="23"/>
    <w:bookmarkStart w:id="28" w:name="methodology"/>
    <w:p>
      <w:pPr>
        <w:pStyle w:val="Heading2"/>
      </w:pPr>
      <w:r>
        <w:t xml:space="preserve">4. Methodology</w:t>
      </w:r>
    </w:p>
    <w:bookmarkStart w:id="24" w:name="environmental-testing"/>
    <w:p>
      <w:pPr>
        <w:pStyle w:val="Heading3"/>
      </w:pPr>
      <w:r>
        <w:t xml:space="preserve">4.1 Environmental Testing</w:t>
      </w:r>
    </w:p>
    <w:p>
      <w:pPr>
        <w:pStyle w:val="FirstParagraph"/>
      </w:pPr>
      <w:r>
        <w:t xml:space="preserve">Devices will be subjected to environmental stress tests simulating the conditions of Egypt Alexandria. This includes exposure to temperatures ranging from 20°C to 45°C and humidity levels up to 80%. The goal is to identify any performance degradation or failure modes that may arise due to these factors.</w:t>
      </w:r>
    </w:p>
    <w:bookmarkEnd w:id="24"/>
    <w:bookmarkStart w:id="25" w:name="power-supply-compatibility"/>
    <w:p>
      <w:pPr>
        <w:pStyle w:val="Heading3"/>
      </w:pPr>
      <w:r>
        <w:t xml:space="preserve">4.2 Power Supply Compatibility</w:t>
      </w:r>
    </w:p>
    <w:p>
      <w:pPr>
        <w:pStyle w:val="FirstParagraph"/>
      </w:pPr>
      <w:r>
        <w:t xml:space="preserve">Given the variability in power supply in some areas of Alexandria, devices will be tested for their ability to operate within voltage ranges of 180V to 250V. Surge protection and backup power capabilities will also be evaluated.</w:t>
      </w:r>
    </w:p>
    <w:bookmarkEnd w:id="25"/>
    <w:bookmarkStart w:id="26" w:name="clinical-performance-evaluation"/>
    <w:p>
      <w:pPr>
        <w:pStyle w:val="Heading3"/>
      </w:pPr>
      <w:r>
        <w:t xml:space="preserve">4.3 Clinical Performance Evaluation</w:t>
      </w:r>
    </w:p>
    <w:p>
      <w:pPr>
        <w:pStyle w:val="FirstParagraph"/>
      </w:pPr>
      <w:r>
        <w:t xml:space="preserve">In collaboration with local healthcare providers, devices will be tested in real-world clinical settings. This involves monitoring their accuracy, reliability, and user-friendliness. Feedback from medical staff will be collected to assess practical usability.</w:t>
      </w:r>
    </w:p>
    <w:bookmarkEnd w:id="26"/>
    <w:bookmarkStart w:id="27" w:name="regulatory-compliance"/>
    <w:p>
      <w:pPr>
        <w:pStyle w:val="Heading3"/>
      </w:pPr>
      <w:r>
        <w:t xml:space="preserve">4.4 Regulatory Compliance</w:t>
      </w:r>
    </w:p>
    <w:p>
      <w:pPr>
        <w:pStyle w:val="FirstParagraph"/>
      </w:pPr>
      <w:r>
        <w:t xml:space="preserve">All experiments will ensure adherence to the regulations set by the Egyptian Ministry of Health and Population, as well as international standards such as ISO 13485 for medical devices.</w:t>
      </w:r>
    </w:p>
    <w:bookmarkEnd w:id="27"/>
    <w:bookmarkEnd w:id="28"/>
    <w:bookmarkStart w:id="29" w:name="roles-and-responsibilities"/>
    <w:p>
      <w:pPr>
        <w:pStyle w:val="Heading2"/>
      </w:pPr>
      <w:r>
        <w:t xml:space="preserve">5. Roles and Responsibilities</w:t>
      </w:r>
    </w:p>
    <w:p>
      <w:pPr>
        <w:pStyle w:val="FirstParagraph"/>
      </w:pPr>
      <w:r>
        <w:t xml:space="preserve">The following roles are critical to the successful execution of this protocol:</w:t>
      </w:r>
    </w:p>
    <w:p>
      <w:pPr>
        <w:numPr>
          <w:ilvl w:val="0"/>
          <w:numId w:val="1002"/>
        </w:numPr>
        <w:pStyle w:val="Compact"/>
      </w:pPr>
      <w:r>
        <w:rPr>
          <w:bCs/>
          <w:b/>
        </w:rPr>
        <w:t xml:space="preserve">Biomedical Engineer:</w:t>
      </w:r>
      <w:r>
        <w:t xml:space="preserve"> </w:t>
      </w:r>
      <w:r>
        <w:t xml:space="preserve">Responsible for designing experiments, conducting tests, and analyzing data.</w:t>
      </w:r>
    </w:p>
    <w:p>
      <w:pPr>
        <w:numPr>
          <w:ilvl w:val="0"/>
          <w:numId w:val="1002"/>
        </w:numPr>
        <w:pStyle w:val="Compact"/>
      </w:pPr>
      <w:r>
        <w:rPr>
          <w:bCs/>
          <w:b/>
        </w:rPr>
        <w:t xml:space="preserve">Clinical Staff:</w:t>
      </w:r>
      <w:r>
        <w:t xml:space="preserve"> </w:t>
      </w:r>
      <w:r>
        <w:t xml:space="preserve">Provide insights into device usability and patient outcomes.</w:t>
      </w:r>
    </w:p>
    <w:p>
      <w:pPr>
        <w:numPr>
          <w:ilvl w:val="0"/>
          <w:numId w:val="1002"/>
        </w:numPr>
        <w:pStyle w:val="Compact"/>
      </w:pPr>
      <w:r>
        <w:rPr>
          <w:bCs/>
          <w:b/>
        </w:rPr>
        <w:t xml:space="preserve">Regulatory Liaison:</w:t>
      </w:r>
      <w:r>
        <w:t xml:space="preserve"> </w:t>
      </w:r>
      <w:r>
        <w:t xml:space="preserve">Ensure compliance with local and international regulations.</w:t>
      </w:r>
    </w:p>
    <w:p>
      <w:pPr>
        <w:numPr>
          <w:ilvl w:val="0"/>
          <w:numId w:val="1002"/>
        </w:numPr>
        <w:pStyle w:val="Compact"/>
      </w:pPr>
      <w:r>
        <w:rPr>
          <w:bCs/>
          <w:b/>
        </w:rPr>
        <w:t xml:space="preserve">Data Analyst:</w:t>
      </w:r>
      <w:r>
        <w:t xml:space="preserve"> </w:t>
      </w:r>
      <w:r>
        <w:t xml:space="preserve">Process and interpret experimental data to draw meaningful conclusions.</w:t>
      </w:r>
    </w:p>
    <w:bookmarkEnd w:id="29"/>
    <w:bookmarkStart w:id="30" w:name="safety-and-ethical-considerations"/>
    <w:p>
      <w:pPr>
        <w:pStyle w:val="Heading2"/>
      </w:pPr>
      <w:r>
        <w:t xml:space="preserve">6. Safety and Ethical Considerations</w:t>
      </w:r>
    </w:p>
    <w:p>
      <w:pPr>
        <w:pStyle w:val="FirstParagraph"/>
      </w:pPr>
      <w:r>
        <w:t xml:space="preserve">Safety is paramount in all experiments involving biomedical devices. The following measures will be implemented:</w:t>
      </w:r>
    </w:p>
    <w:p>
      <w:pPr>
        <w:numPr>
          <w:ilvl w:val="0"/>
          <w:numId w:val="1003"/>
        </w:numPr>
        <w:pStyle w:val="Compact"/>
      </w:pPr>
      <w:r>
        <w:t xml:space="preserve">All devices will undergo rigorous safety checks before deployment.</w:t>
      </w:r>
    </w:p>
    <w:p>
      <w:pPr>
        <w:numPr>
          <w:ilvl w:val="0"/>
          <w:numId w:val="1003"/>
        </w:numPr>
        <w:pStyle w:val="Compact"/>
      </w:pPr>
      <w:r>
        <w:t xml:space="preserve">Informed consent will be obtained from participants in clinical evaluations.</w:t>
      </w:r>
    </w:p>
    <w:p>
      <w:pPr>
        <w:numPr>
          <w:ilvl w:val="0"/>
          <w:numId w:val="1003"/>
        </w:numPr>
        <w:pStyle w:val="Compact"/>
      </w:pPr>
      <w:r>
        <w:t xml:space="preserve">Data privacy and confidentiality will be maintained in accordance with Egyptian laws.</w:t>
      </w:r>
    </w:p>
    <w:p>
      <w:pPr>
        <w:numPr>
          <w:ilvl w:val="0"/>
          <w:numId w:val="1003"/>
        </w:numPr>
        <w:pStyle w:val="Compact"/>
      </w:pPr>
      <w:r>
        <w:t xml:space="preserve">Emergency protocols will be established to address any adverse events.</w:t>
      </w:r>
    </w:p>
    <w:bookmarkEnd w:id="30"/>
    <w:bookmarkStart w:id="31" w:name="data-collection-and-analysis"/>
    <w:p>
      <w:pPr>
        <w:pStyle w:val="Heading2"/>
      </w:pPr>
      <w:r>
        <w:t xml:space="preserve">7. Data Collection and Analysis</w:t>
      </w:r>
    </w:p>
    <w:p>
      <w:pPr>
        <w:pStyle w:val="FirstParagraph"/>
      </w:pPr>
      <w:r>
        <w:t xml:space="preserve">Data will be collected systematically using standardized forms and digital tools. Key metrics include device performance parameters, environmental conditions, and user feedback. Statistical analysis will be performed to identify trends and correlations. Results will be documented in a comprehensive report for review by stakeholders.</w:t>
      </w:r>
    </w:p>
    <w:bookmarkEnd w:id="31"/>
    <w:bookmarkStart w:id="32" w:name="timeline"/>
    <w:p>
      <w:pPr>
        <w:pStyle w:val="Heading2"/>
      </w:pPr>
      <w:r>
        <w:t xml:space="preserve">8. Timeline</w:t>
      </w:r>
    </w:p>
    <w:p>
      <w:pPr>
        <w:pStyle w:val="FirstParagraph"/>
      </w:pPr>
      <w:r>
        <w:t xml:space="preserve">The experiment will be conducted over a period of six months, divided into the following phases:</w:t>
      </w:r>
    </w:p>
    <w:p>
      <w:pPr>
        <w:numPr>
          <w:ilvl w:val="0"/>
          <w:numId w:val="1004"/>
        </w:numPr>
        <w:pStyle w:val="Compact"/>
      </w:pPr>
      <w:r>
        <w:rPr>
          <w:bCs/>
          <w:b/>
        </w:rPr>
        <w:t xml:space="preserve">Month 1-2:</w:t>
      </w:r>
      <w:r>
        <w:t xml:space="preserve"> </w:t>
      </w:r>
      <w:r>
        <w:t xml:space="preserve">Preparation and setup of testing environments.</w:t>
      </w:r>
    </w:p>
    <w:p>
      <w:pPr>
        <w:numPr>
          <w:ilvl w:val="0"/>
          <w:numId w:val="1004"/>
        </w:numPr>
        <w:pStyle w:val="Compact"/>
      </w:pPr>
      <w:r>
        <w:rPr>
          <w:bCs/>
          <w:b/>
        </w:rPr>
        <w:t xml:space="preserve">Month 3-4:</w:t>
      </w:r>
      <w:r>
        <w:t xml:space="preserve"> </w:t>
      </w:r>
      <w:r>
        <w:t xml:space="preserve">Execution of environmental and power supply tests.</w:t>
      </w:r>
    </w:p>
    <w:p>
      <w:pPr>
        <w:numPr>
          <w:ilvl w:val="0"/>
          <w:numId w:val="1004"/>
        </w:numPr>
        <w:pStyle w:val="Compact"/>
      </w:pPr>
      <w:r>
        <w:rPr>
          <w:bCs/>
          <w:b/>
        </w:rPr>
        <w:t xml:space="preserve">Month 5:</w:t>
      </w:r>
      <w:r>
        <w:t xml:space="preserve"> </w:t>
      </w:r>
      <w:r>
        <w:t xml:space="preserve">Clinical performance evaluation.</w:t>
      </w:r>
    </w:p>
    <w:p>
      <w:pPr>
        <w:numPr>
          <w:ilvl w:val="0"/>
          <w:numId w:val="1004"/>
        </w:numPr>
        <w:pStyle w:val="Compact"/>
      </w:pPr>
      <w:r>
        <w:rPr>
          <w:bCs/>
          <w:b/>
        </w:rPr>
        <w:t xml:space="preserve">Month 6:</w:t>
      </w:r>
      <w:r>
        <w:t xml:space="preserve"> </w:t>
      </w:r>
      <w:r>
        <w:t xml:space="preserve">Data analysis and reporting.</w:t>
      </w:r>
    </w:p>
    <w:bookmarkEnd w:id="32"/>
    <w:bookmarkStart w:id="33" w:name="conclusion"/>
    <w:p>
      <w:pPr>
        <w:pStyle w:val="Heading2"/>
      </w:pPr>
      <w:r>
        <w:t xml:space="preserve">9. Conclusion</w:t>
      </w:r>
    </w:p>
    <w:p>
      <w:pPr>
        <w:pStyle w:val="FirstParagraph"/>
      </w:pPr>
      <w:r>
        <w:t xml:space="preserve">This Experiment Protocol provides a structured approach for evaluating biomedical devices in Egypt Alexandria. By addressing the unique challenges of the region, biomedical engineers can ensure that their innovations are effective, safe, and sustainable. The insights gained from this process will contribute to improving healthcare outcomes and advancing the field of biomedical engineering in Egypt.</w:t>
      </w:r>
    </w:p>
    <w:bookmarkEnd w:id="33"/>
    <w:p>
      <w:pPr>
        <w:pStyle w:val="BodyText"/>
      </w:pPr>
      <w:r>
        <w:rPr>
          <w:bCs/>
          <w:b/>
        </w:rPr>
        <w:t xml:space="preserve">Note:</w:t>
      </w:r>
      <w:r>
        <w:t xml:space="preserve"> </w:t>
      </w:r>
      <w:r>
        <w:t xml:space="preserve">This document is intended as a guideline and should be adapted as necessary to meet specific project requirements and regulatory updates.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Egypt Alexandria</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