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Addis</w:t>
      </w:r>
      <w:r>
        <w:t xml:space="preserve"> </w:t>
      </w:r>
      <w:r>
        <w:t xml:space="preserve">Ababa</w:t>
      </w:r>
    </w:p>
    <w:bookmarkStart w:id="20" w:name="X0db5ac79884174d3e4fe00583894b98cba18d19"/>
    <w:p>
      <w:pPr>
        <w:pStyle w:val="Heading1"/>
      </w:pPr>
      <w:r>
        <w:t xml:space="preserve">Experiment Protocol: Biomedical Engineering Research</w:t>
      </w:r>
    </w:p>
    <w:p>
      <w:pPr>
        <w:pStyle w:val="FirstParagraph"/>
      </w:pPr>
      <w:r>
        <w:rPr>
          <w:bCs/>
          <w:b/>
        </w:rPr>
        <w:t xml:space="preserve">Location:</w:t>
      </w:r>
      <w:r>
        <w:t xml:space="preserve"> </w:t>
      </w:r>
      <w:r>
        <w:t xml:space="preserve">Addis Ababa, Ethiopia</w:t>
      </w:r>
    </w:p>
    <w:p>
      <w:pPr>
        <w:pStyle w:val="BodyText"/>
      </w:pPr>
      <w:r>
        <w:rPr>
          <w:bCs/>
          <w:b/>
        </w:rPr>
        <w:t xml:space="preserve">Discipline:</w:t>
      </w:r>
      <w:r>
        <w:t xml:space="preserve"> </w:t>
      </w:r>
      <w:r>
        <w:t xml:space="preserve">Biomedical Engineering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procedures, safety measures, and ethical considerations for conducting biomedical engineering research within the context of Addis Ababa, Ethiopia. The primary objective is to ensure that all experiments involving biomedical devices, diagnostic tools, or therapeutic technologies are conducted with the highest standards of scientific rigor, patient safety, and regulatory compliance.</w:t>
      </w:r>
    </w:p>
    <w:p>
      <w:pPr>
        <w:pStyle w:val="BodyText"/>
      </w:pPr>
      <w:r>
        <w:t xml:space="preserve">Biomedical engineering in Ethiopia is a rapidly evolving field. As Addis Ababa serves as the hub for medical innovation and healthcare delivery in the region, this protocol is designed to address local challenges such as resource limitations, environmental conditions, and specific epidemiological needs. It is intended for use by biomedical engineers, researchers, and clinical staff operating in hospitals, universities, and research institutes across the city.</w:t>
      </w:r>
    </w:p>
    <w:bookmarkEnd w:id="21"/>
    <w:bookmarkStart w:id="22" w:name="objectives"/>
    <w:p>
      <w:pPr>
        <w:pStyle w:val="Heading2"/>
      </w:pPr>
      <w:r>
        <w:t xml:space="preserve">2. Objectives</w:t>
      </w:r>
    </w:p>
    <w:p>
      <w:pPr>
        <w:pStyle w:val="FirstParagraph"/>
      </w:pPr>
      <w:r>
        <w:t xml:space="preserve">The specific objectives of this protocol are to:</w:t>
      </w:r>
    </w:p>
    <w:p>
      <w:pPr>
        <w:numPr>
          <w:ilvl w:val="0"/>
          <w:numId w:val="1001"/>
        </w:numPr>
        <w:pStyle w:val="Compact"/>
      </w:pPr>
      <w:r>
        <w:t xml:space="preserve">Define the scope and methodology for biomedical experiments conducted in Addis Ababa.</w:t>
      </w:r>
    </w:p>
    <w:p>
      <w:pPr>
        <w:numPr>
          <w:ilvl w:val="0"/>
          <w:numId w:val="1001"/>
        </w:numPr>
        <w:pStyle w:val="Compact"/>
      </w:pPr>
      <w:r>
        <w:t xml:space="preserve">Ensure compliance with the National Food and Medicine Authority (NFMA) of Ethiopia and international ethical standards.</w:t>
      </w:r>
    </w:p>
    <w:p>
      <w:pPr>
        <w:numPr>
          <w:ilvl w:val="0"/>
          <w:numId w:val="1001"/>
        </w:numPr>
        <w:pStyle w:val="Compact"/>
      </w:pPr>
      <w:r>
        <w:t xml:space="preserve">Protect the rights, safety, and well-being of human subjects and animal models.</w:t>
      </w:r>
    </w:p>
    <w:p>
      <w:pPr>
        <w:numPr>
          <w:ilvl w:val="0"/>
          <w:numId w:val="1001"/>
        </w:numPr>
        <w:pStyle w:val="Compact"/>
      </w:pPr>
      <w:r>
        <w:t xml:space="preserve">Establish clear guidelines for data collection, analysis, and reporting.</w:t>
      </w:r>
    </w:p>
    <w:p>
      <w:pPr>
        <w:numPr>
          <w:ilvl w:val="0"/>
          <w:numId w:val="1001"/>
        </w:numPr>
        <w:pStyle w:val="Compact"/>
      </w:pPr>
      <w:r>
        <w:t xml:space="preserve">Address logistical challenges unique to the Ethiopian context, including power stability and supply chain reliability.</w:t>
      </w:r>
    </w:p>
    <w:bookmarkEnd w:id="22"/>
    <w:bookmarkStart w:id="23" w:name="regulatory-and-ethical-compliance"/>
    <w:p>
      <w:pPr>
        <w:pStyle w:val="Heading2"/>
      </w:pPr>
      <w:r>
        <w:t xml:space="preserve">3. Regulatory and Ethical Compliance</w:t>
      </w:r>
    </w:p>
    <w:p>
      <w:pPr>
        <w:pStyle w:val="FirstParagraph"/>
      </w:pPr>
      <w:r>
        <w:t xml:space="preserve">All biomedical engineering experiments must adhere to the ethical guidelines set forth by the Ethiopian National Research Ethics Review Committee (NERERC) and the institutional review boards of participating organizations in Addis Ababa. This includes:</w:t>
      </w:r>
    </w:p>
    <w:p>
      <w:pPr>
        <w:numPr>
          <w:ilvl w:val="0"/>
          <w:numId w:val="1002"/>
        </w:numPr>
        <w:pStyle w:val="Compact"/>
      </w:pPr>
      <w:r>
        <w:rPr>
          <w:bCs/>
          <w:b/>
        </w:rPr>
        <w:t xml:space="preserve">Informed Consent:</w:t>
      </w:r>
      <w:r>
        <w:t xml:space="preserve"> </w:t>
      </w:r>
      <w:r>
        <w:t xml:space="preserve">Written informed consent must be obtained from all human participants. Consent forms must be available in Amharic and English to ensure full comprehension.</w:t>
      </w:r>
    </w:p>
    <w:p>
      <w:pPr>
        <w:numPr>
          <w:ilvl w:val="0"/>
          <w:numId w:val="1002"/>
        </w:numPr>
        <w:pStyle w:val="Compact"/>
      </w:pPr>
      <w:r>
        <w:rPr>
          <w:bCs/>
          <w:b/>
        </w:rPr>
        <w:t xml:space="preserve">Regulatory Approval:</w:t>
      </w:r>
      <w:r>
        <w:t xml:space="preserve"> </w:t>
      </w:r>
      <w:r>
        <w:t xml:space="preserve">Prior approval from the NFMA is required for any new medical devices or technologies being tested.</w:t>
      </w:r>
    </w:p>
    <w:p>
      <w:pPr>
        <w:numPr>
          <w:ilvl w:val="0"/>
          <w:numId w:val="1002"/>
        </w:numPr>
        <w:pStyle w:val="Compact"/>
      </w:pPr>
      <w:r>
        <w:rPr>
          <w:bCs/>
          <w:b/>
        </w:rPr>
        <w:t xml:space="preserve">Data Privacy:</w:t>
      </w:r>
      <w:r>
        <w:t xml:space="preserve"> </w:t>
      </w:r>
      <w:r>
        <w:t xml:space="preserve">Patient data must be anonymized and stored securely in accordance with Ethiopian data protection laws.</w:t>
      </w:r>
    </w:p>
    <w:p>
      <w:pPr>
        <w:pStyle w:val="FirstParagraph"/>
      </w:pPr>
      <w:r>
        <w:rPr>
          <w:bCs/>
          <w:b/>
        </w:rPr>
        <w:t xml:space="preserve">Note:</w:t>
      </w:r>
      <w:r>
        <w:t xml:space="preserve"> </w:t>
      </w:r>
      <w:r>
        <w:t xml:space="preserve">Biomedical engineers must collaborate closely with local ethicists and healthcare providers to ensure cultural sensitivity and community engagement.</w:t>
      </w:r>
    </w:p>
    <w:bookmarkEnd w:id="23"/>
    <w:bookmarkStart w:id="27" w:name="experimental-design-and-methodology"/>
    <w:p>
      <w:pPr>
        <w:pStyle w:val="Heading2"/>
      </w:pPr>
      <w:r>
        <w:t xml:space="preserve">4. Experimental Design and Methodology</w:t>
      </w:r>
    </w:p>
    <w:p>
      <w:pPr>
        <w:pStyle w:val="FirstParagraph"/>
      </w:pPr>
      <w:r>
        <w:t xml:space="preserve">The experimental design must be robust, reproducible, and tailored to the local healthcare environment. Key considerations include:</w:t>
      </w:r>
    </w:p>
    <w:bookmarkStart w:id="24" w:name="device-selection-and-calibration"/>
    <w:p>
      <w:pPr>
        <w:pStyle w:val="Heading3"/>
      </w:pPr>
      <w:r>
        <w:t xml:space="preserve">4.1. Device Selection and Calibration</w:t>
      </w:r>
    </w:p>
    <w:p>
      <w:pPr>
        <w:pStyle w:val="FirstParagraph"/>
      </w:pPr>
      <w:r>
        <w:t xml:space="preserve">Biomedical devices used in experiments must be calibrated according to manufacturer specifications and local environmental conditions. Given the variable power supply in Addis Ababa, engineers must incorporate backup power solutions and voltage stabilizers to ensure device integrity.</w:t>
      </w:r>
    </w:p>
    <w:bookmarkEnd w:id="24"/>
    <w:bookmarkStart w:id="25" w:name="participant-recruitment"/>
    <w:p>
      <w:pPr>
        <w:pStyle w:val="Heading3"/>
      </w:pPr>
      <w:r>
        <w:t xml:space="preserve">4.2. Participant Recruitment</w:t>
      </w:r>
    </w:p>
    <w:p>
      <w:pPr>
        <w:pStyle w:val="FirstParagraph"/>
      </w:pPr>
      <w:r>
        <w:t xml:space="preserve">Participants should be recruited from diverse populations within Addis Ababa to ensure the generalizability of results. Inclusion and exclusion criteria must be clearly defined and justified.</w:t>
      </w:r>
    </w:p>
    <w:bookmarkEnd w:id="25"/>
    <w:bookmarkStart w:id="26" w:name="data-collection"/>
    <w:p>
      <w:pPr>
        <w:pStyle w:val="Heading3"/>
      </w:pPr>
      <w:r>
        <w:t xml:space="preserve">4.3. Data Collection</w:t>
      </w:r>
    </w:p>
    <w:p>
      <w:pPr>
        <w:pStyle w:val="FirstParagraph"/>
      </w:pPr>
      <w:r>
        <w:t xml:space="preserve">Data collection methods must be standardized. Electronic data capture systems are preferred, but manual backups should be maintained in case of technical failures. All data must be recorded in a secure, centralized database accessible only to authorized personnel.</w:t>
      </w:r>
    </w:p>
    <w:bookmarkEnd w:id="26"/>
    <w:bookmarkEnd w:id="27"/>
    <w:bookmarkStart w:id="28" w:name="safety-and-risk-management"/>
    <w:p>
      <w:pPr>
        <w:pStyle w:val="Heading2"/>
      </w:pPr>
      <w:r>
        <w:t xml:space="preserve">5. Safety and Risk Management</w:t>
      </w:r>
    </w:p>
    <w:p>
      <w:pPr>
        <w:pStyle w:val="FirstParagraph"/>
      </w:pPr>
      <w:r>
        <w:t xml:space="preserve">Safety is paramount in biomedical engineering experiments. The following measures must be implemented:</w:t>
      </w:r>
    </w:p>
    <w:p>
      <w:pPr>
        <w:numPr>
          <w:ilvl w:val="0"/>
          <w:numId w:val="1003"/>
        </w:numPr>
        <w:pStyle w:val="Compact"/>
      </w:pPr>
      <w:r>
        <w:rPr>
          <w:bCs/>
          <w:b/>
        </w:rPr>
        <w:t xml:space="preserve">Biosafety:</w:t>
      </w:r>
      <w:r>
        <w:t xml:space="preserve"> </w:t>
      </w:r>
      <w:r>
        <w:t xml:space="preserve">Adherence to biosafety level (BSL) requirements for handling biological samples. Laboratories in Addis Ababa must meet the standards set by the Ethiopian Public Health Institute.</w:t>
      </w:r>
    </w:p>
    <w:p>
      <w:pPr>
        <w:numPr>
          <w:ilvl w:val="0"/>
          <w:numId w:val="1003"/>
        </w:numPr>
        <w:pStyle w:val="Compact"/>
      </w:pPr>
      <w:r>
        <w:rPr>
          <w:bCs/>
          <w:b/>
        </w:rPr>
        <w:t xml:space="preserve">Electrical Safety:</w:t>
      </w:r>
      <w:r>
        <w:t xml:space="preserve"> </w:t>
      </w:r>
      <w:r>
        <w:t xml:space="preserve">Regular inspection of electrical equipment to prevent hazards associated with unstable power grids.</w:t>
      </w:r>
    </w:p>
    <w:p>
      <w:pPr>
        <w:numPr>
          <w:ilvl w:val="0"/>
          <w:numId w:val="1003"/>
        </w:numPr>
        <w:pStyle w:val="Compact"/>
      </w:pPr>
      <w:r>
        <w:rPr>
          <w:bCs/>
          <w:b/>
        </w:rPr>
        <w:t xml:space="preserve">Emergency Procedures:</w:t>
      </w:r>
      <w:r>
        <w:t xml:space="preserve"> </w:t>
      </w:r>
      <w:r>
        <w:t xml:space="preserve">Clear protocols for handling adverse events, including immediate access to emergency medical care at nearby hospitals such as Tikur Anbessa Specialized Hospital.</w:t>
      </w:r>
    </w:p>
    <w:bookmarkEnd w:id="28"/>
    <w:bookmarkStart w:id="29" w:name="resource-management-and-sustainability"/>
    <w:p>
      <w:pPr>
        <w:pStyle w:val="Heading2"/>
      </w:pPr>
      <w:r>
        <w:t xml:space="preserve">6. Resource Management and Sustainability</w:t>
      </w:r>
    </w:p>
    <w:p>
      <w:pPr>
        <w:pStyle w:val="FirstParagraph"/>
      </w:pPr>
      <w:r>
        <w:t xml:space="preserve">Biomedical engineers in Ethiopia must consider the sustainability of their experiments. This includes:</w:t>
      </w:r>
    </w:p>
    <w:p>
      <w:pPr>
        <w:numPr>
          <w:ilvl w:val="0"/>
          <w:numId w:val="1004"/>
        </w:numPr>
        <w:pStyle w:val="Compact"/>
      </w:pPr>
      <w:r>
        <w:rPr>
          <w:bCs/>
          <w:b/>
        </w:rPr>
        <w:t xml:space="preserve">Local Sourcing:</w:t>
      </w:r>
      <w:r>
        <w:t xml:space="preserve"> </w:t>
      </w:r>
      <w:r>
        <w:t xml:space="preserve">Prioritizing locally available materials and components to reduce dependency on imports.</w:t>
      </w:r>
    </w:p>
    <w:p>
      <w:pPr>
        <w:numPr>
          <w:ilvl w:val="0"/>
          <w:numId w:val="1004"/>
        </w:numPr>
        <w:pStyle w:val="Compact"/>
      </w:pPr>
      <w:r>
        <w:rPr>
          <w:bCs/>
          <w:b/>
        </w:rPr>
        <w:t xml:space="preserve">Training:</w:t>
      </w:r>
      <w:r>
        <w:t xml:space="preserve"> </w:t>
      </w:r>
      <w:r>
        <w:t xml:space="preserve">Providing training to local technicians and healthcare workers to ensure the long-term maintenance and use of biomedical devices.</w:t>
      </w:r>
    </w:p>
    <w:p>
      <w:pPr>
        <w:numPr>
          <w:ilvl w:val="0"/>
          <w:numId w:val="1004"/>
        </w:numPr>
        <w:pStyle w:val="Compact"/>
      </w:pPr>
      <w:r>
        <w:rPr>
          <w:bCs/>
          <w:b/>
        </w:rPr>
        <w:t xml:space="preserve">Waste Management:</w:t>
      </w:r>
      <w:r>
        <w:t xml:space="preserve"> </w:t>
      </w:r>
      <w:r>
        <w:t xml:space="preserve">Proper disposal of biomedical waste in accordance with Ethiopian environmental regulations.</w:t>
      </w:r>
    </w:p>
    <w:bookmarkEnd w:id="29"/>
    <w:bookmarkStart w:id="30" w:name="data-analysis-and-reporting"/>
    <w:p>
      <w:pPr>
        <w:pStyle w:val="Heading2"/>
      </w:pPr>
      <w:r>
        <w:t xml:space="preserve">7. Data Analysis and Reporting</w:t>
      </w:r>
    </w:p>
    <w:p>
      <w:pPr>
        <w:pStyle w:val="FirstParagraph"/>
      </w:pPr>
      <w:r>
        <w:t xml:space="preserve">Data analysis should be conducted using appropriate statistical methods. Results must be reported transparently, including any limitations or biases. Publications and presentations should acknowledge the contributions of local partners and participants in Addis Ababa.</w:t>
      </w:r>
    </w:p>
    <w:bookmarkEnd w:id="30"/>
    <w:bookmarkStart w:id="31" w:name="conclusion"/>
    <w:p>
      <w:pPr>
        <w:pStyle w:val="Heading2"/>
      </w:pPr>
      <w:r>
        <w:t xml:space="preserve">8. Conclusion</w:t>
      </w:r>
    </w:p>
    <w:p>
      <w:pPr>
        <w:pStyle w:val="FirstParagraph"/>
      </w:pPr>
      <w:r>
        <w:t xml:space="preserve">This Experiment Protocol provides a comprehensive framework for conducting biomedical engineering research in Addis Ababa, Ethiopia. By adhering to these guidelines, biomedical engineers can contribute to the advancement of healthcare technology in a manner that is ethical, safe, and responsive to the needs of the local population. Continuous review and updating of this protocol are essential to keep pace with technological advancements and regulatory changes.</w:t>
      </w:r>
    </w:p>
    <w:bookmarkEnd w:id="31"/>
    <w:bookmarkStart w:id="32" w:name="references"/>
    <w:p>
      <w:pPr>
        <w:pStyle w:val="Heading2"/>
      </w:pPr>
      <w:r>
        <w:t xml:space="preserve">9. References</w:t>
      </w:r>
    </w:p>
    <w:p>
      <w:pPr>
        <w:numPr>
          <w:ilvl w:val="0"/>
          <w:numId w:val="1005"/>
        </w:numPr>
        <w:pStyle w:val="Compact"/>
      </w:pPr>
      <w:r>
        <w:t xml:space="preserve">Ethiopian National Food and Medicine Authority (NFMA) Guidelines.</w:t>
      </w:r>
    </w:p>
    <w:p>
      <w:pPr>
        <w:numPr>
          <w:ilvl w:val="0"/>
          <w:numId w:val="1005"/>
        </w:numPr>
        <w:pStyle w:val="Compact"/>
      </w:pPr>
      <w:r>
        <w:t xml:space="preserve">Ethiopian National Research Ethics Review Committee (NERERC) Standards.</w:t>
      </w:r>
    </w:p>
    <w:p>
      <w:pPr>
        <w:numPr>
          <w:ilvl w:val="0"/>
          <w:numId w:val="1005"/>
        </w:numPr>
        <w:pStyle w:val="Compact"/>
      </w:pPr>
      <w:r>
        <w:t xml:space="preserve">International Organization for Standardization (ISO) Standards for Medical Devices.</w:t>
      </w:r>
    </w:p>
    <w:p>
      <w:pPr>
        <w:numPr>
          <w:ilvl w:val="0"/>
          <w:numId w:val="1005"/>
        </w:numPr>
        <w:pStyle w:val="Compact"/>
      </w:pPr>
      <w:r>
        <w:t xml:space="preserve">Ethiopian Public Health Institute Biosafety Guidelines.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Addis Ababa</dc:title>
  <dc:creator/>
  <dc:language>en</dc:language>
  <cp:keywords/>
  <dcterms:created xsi:type="dcterms:W3CDTF">2026-10-10T03:36:56Z</dcterms:created>
  <dcterms:modified xsi:type="dcterms:W3CDTF">2026-10-10T03:36:56Z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