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Lyon,</w:t>
      </w:r>
      <w:r>
        <w:t xml:space="preserve"> </w:t>
      </w:r>
      <w:r>
        <w:t xml:space="preserve">France</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Novel Biocompatible Sensors for Continuous Glucose Monitoring</w:t>
      </w:r>
    </w:p>
    <w:p>
      <w:pPr>
        <w:pStyle w:val="BodyText"/>
      </w:pPr>
      <w:r>
        <w:rPr>
          <w:bCs/>
          <w:b/>
        </w:rPr>
        <w:t xml:space="preserve">Location:</w:t>
      </w:r>
      <w:r>
        <w:t xml:space="preserve"> </w:t>
      </w:r>
      <w:r>
        <w:t xml:space="preserve">Lyon, France</w:t>
      </w:r>
    </w:p>
    <w:p>
      <w:pPr>
        <w:pStyle w:val="BodyText"/>
      </w:pPr>
      <w:r>
        <w:rPr>
          <w:bCs/>
          <w:b/>
        </w:rPr>
        <w:t xml:space="preserve">Principal Investigator:</w:t>
      </w:r>
      <w:r>
        <w:t xml:space="preserve"> </w:t>
      </w:r>
      <w:r>
        <w:t xml:space="preserve">Dr. [Name], Biomedical Engineer</w:t>
      </w:r>
    </w:p>
    <w:p>
      <w:pPr>
        <w:pStyle w:val="BodyText"/>
      </w:pPr>
      <w:r>
        <w:rPr>
          <w:bCs/>
          <w:b/>
        </w:rPr>
        <w:t xml:space="preserve">Institution:</w:t>
      </w:r>
      <w:r>
        <w:t xml:space="preserve"> </w:t>
      </w:r>
      <w:r>
        <w:t xml:space="preserve">[Name of Research Institute/University in Lyon]</w:t>
      </w:r>
    </w:p>
    <w:p>
      <w:pPr>
        <w:pStyle w:val="BodyText"/>
      </w:pPr>
      <w:r>
        <w:rPr>
          <w:bCs/>
          <w:b/>
        </w:rPr>
        <w:t xml:space="preserve">Date:</w:t>
      </w:r>
      <w:r>
        <w:t xml:space="preserve"> </w:t>
      </w:r>
      <w:r>
        <w:t xml:space="preserve">[Current Date]</w:t>
      </w:r>
    </w:p>
    <w:p>
      <w:pPr>
        <w:pStyle w:val="BodyText"/>
      </w:pPr>
      <w:r>
        <w:rPr>
          <w:bCs/>
          <w:b/>
        </w:rPr>
        <w:t xml:space="preserve">Protocol Version:</w:t>
      </w:r>
      <w:r>
        <w:t xml:space="preserve"> </w:t>
      </w:r>
      <w:r>
        <w:t xml:space="preserve">1.0</w:t>
      </w:r>
    </w:p>
    <w:bookmarkEnd w:id="20"/>
    <w:p>
      <w:pPr>
        <w:pStyle w:val="BodyText"/>
      </w:pPr>
      <w:r>
        <w:t xml:space="preserve">1. Introduction and Background</w:t>
      </w:r>
    </w:p>
    <w:p>
      <w:pPr>
        <w:pStyle w:val="BodyText"/>
      </w:pPr>
      <w:r>
        <w:t xml:space="preserve">This Experiment Protocol outlines the procedures for the development and testing of a new class of biocompatible sensors designed for continuous glucose monitoring (CGM). The research is conducted by a team of Biomedical Engineers based in Lyon, France, a city renowned for its excellence in life sciences and medical technology. Lyon serves as a strategic hub for this project due to its proximity to major research institutions such as INSERM and the University of Lyon, as well as its robust ecosystem of biomedical startups and hospitals.</w:t>
      </w:r>
    </w:p>
    <w:p>
      <w:pPr>
        <w:pStyle w:val="BodyText"/>
      </w:pPr>
      <w:r>
        <w:t xml:space="preserve">The primary objective is to enhance the accuracy and longevity of CGM devices, addressing current limitations in sensor stability and biocompatibility. This protocol adheres to the strict regulatory standards set by the French National Agency for the Safety of Medicines and Health Products (ANSM) and aligns with European Union regulations for medical devices.</w:t>
      </w:r>
    </w:p>
    <w:p>
      <w:pPr>
        <w:pStyle w:val="BodyText"/>
      </w:pPr>
      <w:r>
        <w:t xml:space="preserve">2. Objectives</w:t>
      </w:r>
    </w:p>
    <w:p>
      <w:pPr>
        <w:pStyle w:val="BodyText"/>
      </w:pPr>
      <w:r>
        <w:t xml:space="preserve">The specific objectives of this experiment are:</w:t>
      </w:r>
    </w:p>
    <w:p>
      <w:pPr>
        <w:numPr>
          <w:ilvl w:val="0"/>
          <w:numId w:val="1001"/>
        </w:numPr>
        <w:pStyle w:val="Compact"/>
      </w:pPr>
      <w:r>
        <w:t xml:space="preserve">To design and fabricate a prototype sensor using advanced nanomaterials.</w:t>
      </w:r>
    </w:p>
    <w:p>
      <w:pPr>
        <w:numPr>
          <w:ilvl w:val="0"/>
          <w:numId w:val="1001"/>
        </w:numPr>
        <w:pStyle w:val="Compact"/>
      </w:pPr>
      <w:r>
        <w:t xml:space="preserve">To evaluate the biocompatibility of the sensor materials in vitro.</w:t>
      </w:r>
    </w:p>
    <w:p>
      <w:pPr>
        <w:numPr>
          <w:ilvl w:val="0"/>
          <w:numId w:val="1001"/>
        </w:numPr>
        <w:pStyle w:val="Compact"/>
      </w:pPr>
      <w:r>
        <w:t xml:space="preserve">To assess the sensor's performance in terms of sensitivity, selectivity, and response time.</w:t>
      </w:r>
    </w:p>
    <w:p>
      <w:pPr>
        <w:numPr>
          <w:ilvl w:val="0"/>
          <w:numId w:val="1001"/>
        </w:numPr>
        <w:pStyle w:val="Compact"/>
      </w:pPr>
      <w:r>
        <w:t xml:space="preserve">To conduct preliminary in vivo testing in accordance with ethical guidelines.</w:t>
      </w:r>
    </w:p>
    <w:p>
      <w:pPr>
        <w:pStyle w:val="FirstParagraph"/>
      </w:pPr>
      <w:r>
        <w:t xml:space="preserve">3. Methodology</w:t>
      </w:r>
    </w:p>
    <w:p>
      <w:pPr>
        <w:pStyle w:val="BodyText"/>
      </w:pPr>
      <w:r>
        <w:t xml:space="preserve">The methodology is divided into three main phases: design and fabrication, in vitro testing, and in vivo testing. Each phase is meticulously planned to ensure reproducibility and reliability of results.</w:t>
      </w:r>
    </w:p>
    <w:bookmarkStart w:id="21" w:name="design-and-fabrication"/>
    <w:p>
      <w:pPr>
        <w:pStyle w:val="Heading3"/>
      </w:pPr>
      <w:r>
        <w:t xml:space="preserve">3.1 Design and Fabrication</w:t>
      </w:r>
    </w:p>
    <w:p>
      <w:pPr>
        <w:pStyle w:val="FirstParagraph"/>
      </w:pPr>
      <w:r>
        <w:t xml:space="preserve">The Biomedical Engineer team will utilize computer-aided design (CAD) software to model the sensor. Materials selected include gold nanoparticles and hydrogel polymers known for their biocompatibility. Fabrication will take place in a cleanroom facility in Lyon, ensuring minimal contamination.</w:t>
      </w:r>
    </w:p>
    <w:bookmarkEnd w:id="21"/>
    <w:bookmarkStart w:id="22" w:name="in-vitro-testing"/>
    <w:p>
      <w:pPr>
        <w:pStyle w:val="Heading3"/>
      </w:pPr>
      <w:r>
        <w:t xml:space="preserve">3.2 In Vitro Testing</w:t>
      </w:r>
    </w:p>
    <w:p>
      <w:pPr>
        <w:pStyle w:val="FirstParagraph"/>
      </w:pPr>
      <w:r>
        <w:t xml:space="preserve">In vitro tests will be conducted to assess the sensor's interaction with biological tissues. Cell cultures will be exposed to the sensor materials, and markers of cytotoxicity will be measured. This phase is critical for ensuring that the sensor does not elicit adverse immune responses.</w:t>
      </w:r>
    </w:p>
    <w:bookmarkEnd w:id="22"/>
    <w:bookmarkStart w:id="23" w:name="in-vivo-testing"/>
    <w:p>
      <w:pPr>
        <w:pStyle w:val="Heading3"/>
      </w:pPr>
      <w:r>
        <w:t xml:space="preserve">3.3 In Vivo Testing</w:t>
      </w:r>
    </w:p>
    <w:p>
      <w:pPr>
        <w:pStyle w:val="FirstParagraph"/>
      </w:pPr>
      <w:r>
        <w:t xml:space="preserve">Following successful in vitro results, the sensor will undergo in vivo testing in animal models. This phase will evaluate the sensor's performance in a living organism, focusing on accuracy and stability over time. All procedures will be approved by the local ethics committee in Lyon.</w:t>
      </w:r>
    </w:p>
    <w:bookmarkEnd w:id="23"/>
    <w:p>
      <w:pPr>
        <w:pStyle w:val="BodyText"/>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Gold Nanoparticles</w:t>
            </w:r>
          </w:p>
        </w:tc>
        <w:tc>
          <w:tcPr/>
          <w:p>
            <w:pPr>
              <w:pStyle w:val="Compact"/>
              <w:jc w:val="left"/>
            </w:pPr>
            <w:r>
              <w:t xml:space="preserve">10 nm diameter</w:t>
            </w:r>
          </w:p>
        </w:tc>
        <w:tc>
          <w:tcPr/>
          <w:p>
            <w:pPr>
              <w:pStyle w:val="Compact"/>
              <w:jc w:val="left"/>
            </w:pPr>
            <w:r>
              <w:t xml:space="preserve">50 mg</w:t>
            </w:r>
          </w:p>
        </w:tc>
      </w:tr>
      <w:tr>
        <w:tc>
          <w:tcPr/>
          <w:p>
            <w:pPr>
              <w:pStyle w:val="Compact"/>
              <w:jc w:val="left"/>
            </w:pPr>
            <w:r>
              <w:t xml:space="preserve">Hydrogel Polymers</w:t>
            </w:r>
          </w:p>
        </w:tc>
        <w:tc>
          <w:tcPr/>
          <w:p>
            <w:pPr>
              <w:pStyle w:val="Compact"/>
              <w:jc w:val="left"/>
            </w:pPr>
            <w:r>
              <w:t xml:space="preserve">Biocompatible grade</w:t>
            </w:r>
          </w:p>
        </w:tc>
        <w:tc>
          <w:tcPr/>
          <w:p>
            <w:pPr>
              <w:pStyle w:val="Compact"/>
              <w:jc w:val="left"/>
            </w:pPr>
            <w:r>
              <w:t xml:space="preserve">100 g</w:t>
            </w:r>
          </w:p>
        </w:tc>
      </w:tr>
      <w:tr>
        <w:tc>
          <w:tcPr/>
          <w:p>
            <w:pPr>
              <w:pStyle w:val="Compact"/>
              <w:jc w:val="left"/>
            </w:pPr>
            <w:r>
              <w:t xml:space="preserve">Microelectrodes</w:t>
            </w:r>
          </w:p>
        </w:tc>
        <w:tc>
          <w:tcPr/>
          <w:p>
            <w:pPr>
              <w:pStyle w:val="Compact"/>
              <w:jc w:val="left"/>
            </w:pPr>
            <w:r>
              <w:t xml:space="preserve">Platinum/Iridium</w:t>
            </w:r>
          </w:p>
        </w:tc>
        <w:tc>
          <w:tcPr/>
          <w:p>
            <w:pPr>
              <w:pStyle w:val="Compact"/>
              <w:jc w:val="left"/>
            </w:pPr>
            <w:r>
              <w:t xml:space="preserve">200 units</w:t>
            </w:r>
          </w:p>
        </w:tc>
      </w:tr>
      <w:tr>
        <w:tc>
          <w:tcPr/>
          <w:p>
            <w:pPr>
              <w:pStyle w:val="Compact"/>
              <w:jc w:val="left"/>
            </w:pPr>
            <w:r>
              <w:t xml:space="preserve">Cell Culture Media</w:t>
            </w:r>
          </w:p>
        </w:tc>
        <w:tc>
          <w:tcPr/>
          <w:p>
            <w:pPr>
              <w:pStyle w:val="Compact"/>
              <w:jc w:val="left"/>
            </w:pPr>
            <w:r>
              <w:t xml:space="preserve">DMEM with supplements</w:t>
            </w:r>
          </w:p>
        </w:tc>
        <w:tc>
          <w:tcPr/>
          <w:p>
            <w:pPr>
              <w:pStyle w:val="Compact"/>
              <w:jc w:val="left"/>
            </w:pPr>
            <w:r>
              <w:t xml:space="preserve">5 L</w:t>
            </w:r>
          </w:p>
        </w:tc>
      </w:tr>
      <w:tr>
        <w:tc>
          <w:tcPr/>
          <w:p>
            <w:pPr>
              <w:pStyle w:val="Compact"/>
              <w:jc w:val="left"/>
            </w:pPr>
            <w:r>
              <w:t xml:space="preserve">Animal Models</w:t>
            </w:r>
          </w:p>
        </w:tc>
        <w:tc>
          <w:tcPr/>
          <w:p>
            <w:pPr>
              <w:pStyle w:val="Compact"/>
              <w:jc w:val="left"/>
            </w:pPr>
            <w:r>
              <w:t xml:space="preserve">Diabetic mice</w:t>
            </w:r>
          </w:p>
        </w:tc>
        <w:tc>
          <w:tcPr/>
          <w:p>
            <w:pPr>
              <w:pStyle w:val="Compact"/>
              <w:jc w:val="left"/>
            </w:pPr>
            <w:r>
              <w:t xml:space="preserve">30 subjects</w:t>
            </w:r>
          </w:p>
        </w:tc>
      </w:tr>
    </w:tbl>
    <w:p>
      <w:pPr>
        <w:pStyle w:val="BodyText"/>
      </w:pPr>
      <w:r>
        <w:t xml:space="preserve">5. Ethical Considerations</w:t>
      </w:r>
    </w:p>
    <w:p>
      <w:pPr>
        <w:pStyle w:val="BodyText"/>
      </w:pPr>
      <w:r>
        <w:t xml:space="preserve">This experiment protocol strictly adheres to ethical guidelines for biomedical research. All in vivo procedures will be reviewed and approved by the ethics committee of the institution in Lyon. Animal welfare will be prioritized, and measures will be taken to minimize pain and distress. Human subjects will not be involved in this phase of the study.</w:t>
      </w:r>
    </w:p>
    <w:p>
      <w:pPr>
        <w:pStyle w:val="BodyText"/>
      </w:pPr>
      <w:r>
        <w:t xml:space="preserve">6. Data Analysis</w:t>
      </w:r>
    </w:p>
    <w:p>
      <w:pPr>
        <w:pStyle w:val="BodyText"/>
      </w:pPr>
      <w:r>
        <w:t xml:space="preserve">Data collected from in vitro and in vivo tests will be analyzed using statistical software. Key parameters such as sensor accuracy, response time, and biocompatibility will be evaluated. Results will be compared against established benchmarks to determine the efficacy of the new sensor design.</w:t>
      </w:r>
    </w:p>
    <w:p>
      <w:pPr>
        <w:pStyle w:val="BodyText"/>
      </w:pPr>
      <w:r>
        <w:t xml:space="preserve">7. Timeline</w:t>
      </w:r>
    </w:p>
    <w:p>
      <w:pPr>
        <w:pStyle w:val="BodyText"/>
      </w:pPr>
      <w:r>
        <w:t xml:space="preserve">The project is scheduled to be completed over a period of 18 months. Key milestones include:</w:t>
      </w:r>
    </w:p>
    <w:p>
      <w:pPr>
        <w:numPr>
          <w:ilvl w:val="0"/>
          <w:numId w:val="1002"/>
        </w:numPr>
        <w:pStyle w:val="Compact"/>
      </w:pPr>
      <w:r>
        <w:t xml:space="preserve">Months 1-3: Design and fabrication of sensor prototypes.</w:t>
      </w:r>
    </w:p>
    <w:p>
      <w:pPr>
        <w:numPr>
          <w:ilvl w:val="0"/>
          <w:numId w:val="1002"/>
        </w:numPr>
        <w:pStyle w:val="Compact"/>
      </w:pPr>
      <w:r>
        <w:t xml:space="preserve">Months 4-6: In vitro testing and analysis.</w:t>
      </w:r>
    </w:p>
    <w:p>
      <w:pPr>
        <w:numPr>
          <w:ilvl w:val="0"/>
          <w:numId w:val="1002"/>
        </w:numPr>
        <w:pStyle w:val="Compact"/>
      </w:pPr>
      <w:r>
        <w:t xml:space="preserve">Months 7-12: In vivo testing and data collection.</w:t>
      </w:r>
    </w:p>
    <w:p>
      <w:pPr>
        <w:numPr>
          <w:ilvl w:val="0"/>
          <w:numId w:val="1002"/>
        </w:numPr>
        <w:pStyle w:val="Compact"/>
      </w:pPr>
      <w:r>
        <w:t xml:space="preserve">Months 13-15: Data analysis and interpretation.</w:t>
      </w:r>
    </w:p>
    <w:p>
      <w:pPr>
        <w:numPr>
          <w:ilvl w:val="0"/>
          <w:numId w:val="1002"/>
        </w:numPr>
        <w:pStyle w:val="Compact"/>
      </w:pPr>
      <w:r>
        <w:t xml:space="preserve">Months 16-18: Reporting and dissemination of results.</w:t>
      </w:r>
    </w:p>
    <w:p>
      <w:pPr>
        <w:pStyle w:val="FirstParagraph"/>
      </w:pPr>
      <w:r>
        <w:t xml:space="preserve">8. Conclusion</w:t>
      </w:r>
    </w:p>
    <w:p>
      <w:pPr>
        <w:pStyle w:val="BodyText"/>
      </w:pPr>
      <w:r>
        <w:t xml:space="preserve">This Experiment Protocol provides a comprehensive framework for the development and testing of a novel biocompatible sensor for continuous glucose monitoring. Conducted by skilled Biomedical Engineers in Lyon, France, this project aims to contribute significantly to the field of medical technology. By adhering to rigorous scientific and ethical standards, we strive to deliver a product that enhances patient care and quality of life.</w:t>
      </w:r>
    </w:p>
    <w:p>
      <w:pPr>
        <w:pStyle w:val="BodyText"/>
      </w:pPr>
      <w:r>
        <w:t xml:space="preserve">This document is confidential and intended solely for the use of the individuals and entities named herein. Unauthorized distribution or use is prohibited.</w:t>
      </w:r>
    </w:p>
    <w:p>
      <w:pPr>
        <w:pStyle w:val="BodyText"/>
      </w:pPr>
      <w:r>
        <w:t xml:space="preserve">For further information, please contact the Principal Investigator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Lyon, France</dc:title>
  <dc:creator/>
  <dc:language>en</dc:language>
  <cp:keywords/>
  <dcterms:created xsi:type="dcterms:W3CDTF">2026-10-10T06:14:18Z</dcterms:created>
  <dcterms:modified xsi:type="dcterms:W3CDTF">2026-10-10T06:14:18Z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