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Validation</w:t>
      </w:r>
      <w:r>
        <w:t xml:space="preserve"> </w:t>
      </w:r>
      <w:r>
        <w:t xml:space="preserve">in</w:t>
      </w:r>
      <w:r>
        <w:t xml:space="preserve"> </w:t>
      </w:r>
      <w:r>
        <w:t xml:space="preserve">Mumbai,</w:t>
      </w:r>
      <w:r>
        <w:t xml:space="preserve"> </w:t>
      </w:r>
      <w:r>
        <w:t xml:space="preserve">India</w:t>
      </w:r>
    </w:p>
    <w:bookmarkStart w:id="20" w:name="Xde1737c1a466886abea993b66266f5b805c4259"/>
    <w:p>
      <w:pPr>
        <w:pStyle w:val="Heading1"/>
      </w:pPr>
      <w:r>
        <w:t xml:space="preserve">Experiment Protocol: Clinical Validation of Portable Diagnostic Devices</w:t>
      </w:r>
    </w:p>
    <w:p>
      <w:pPr>
        <w:pStyle w:val="FirstParagraph"/>
      </w:pPr>
      <w:r>
        <w:rPr>
          <w:bCs/>
          <w:b/>
        </w:rPr>
        <w:t xml:space="preserve">Location:</w:t>
      </w:r>
      <w:r>
        <w:t xml:space="preserve"> </w:t>
      </w:r>
      <w:r>
        <w:t xml:space="preserve">Mumbai, Maharashtra, India</w:t>
      </w:r>
    </w:p>
    <w:p>
      <w:pPr>
        <w:pStyle w:val="BodyText"/>
      </w:pPr>
      <w:r>
        <w:rPr>
          <w:bCs/>
          <w:b/>
        </w:rPr>
        <w:t xml:space="preserve">Discipline:</w:t>
      </w:r>
      <w:r>
        <w:t xml:space="preserve"> </w:t>
      </w:r>
      <w:r>
        <w:t xml:space="preserve">Biomedical Engineering</w:t>
      </w:r>
    </w:p>
    <w:p>
      <w:pPr>
        <w:pStyle w:val="BodyText"/>
      </w:pPr>
      <w:r>
        <w:rPr>
          <w:bCs/>
          <w:b/>
        </w:rPr>
        <w:t xml:space="preserve">Protocol ID:</w:t>
      </w:r>
      <w:r>
        <w:t xml:space="preserve"> </w:t>
      </w:r>
      <w:r>
        <w:t xml:space="preserve">BME-MUM-2023-045</w:t>
      </w:r>
    </w:p>
    <w:p>
      <w:pPr>
        <w:pStyle w:val="BodyText"/>
      </w:pPr>
      <w:r>
        <w:rPr>
          <w:bCs/>
          <w:b/>
        </w:rPr>
        <w:t xml:space="preserve">Date of Issue: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designed for the validation of a new generation of portable electrocardiogram (ECG) monitoring devices. This protocol is specifically tailored for the unique environmental and clinical conditions found in Mumbai, India. The primary objective is to assess the technical reliability, signal integrity, and user interface efficacy of the device under the supervision of a qualified Biomedical Engineer.</w:t>
      </w:r>
    </w:p>
    <w:p>
      <w:pPr>
        <w:pStyle w:val="BodyText"/>
      </w:pPr>
      <w:r>
        <w:t xml:space="preserve">Mumbai presents a distinct operational landscape characterized by high humidity, variable power supply stability, and high-density patient traffic in public healthcare facilities. Therefore, this protocol ensures that the device meets the rigorous standards required for deployment in Indian tertiary care hospitals and community health centers.</w:t>
      </w:r>
    </w:p>
    <w:bookmarkEnd w:id="21"/>
    <w:bookmarkStart w:id="22" w:name="X74d2777531fe9bf0b923c9f7177cf2b369463da"/>
    <w:p>
      <w:pPr>
        <w:pStyle w:val="Heading2"/>
      </w:pPr>
      <w:r>
        <w:t xml:space="preserve">2. Regulatory Compliance and Ethical Considerations</w:t>
      </w:r>
    </w:p>
    <w:p>
      <w:pPr>
        <w:pStyle w:val="FirstParagraph"/>
      </w:pPr>
      <w:r>
        <w:t xml:space="preserve">All procedures within this Experiment Protocol must strictly adhere to the guidelines set forth by the Central Drugs Standard Control Organization (CDSCO) of India. Furthermore, the study must comply with the Indian Council of Medical Research (ICMR) ethical guidelines for biomedical research.</w:t>
      </w:r>
    </w:p>
    <w:p>
      <w:pPr>
        <w:pStyle w:val="BodyText"/>
      </w:pPr>
      <w:r>
        <w:t xml:space="preserve">The Biomedical Engineer leading this study is responsible for ensuring that all equipment used is calibrated according to the Bureau of Indian Standards (BIS). Patient data privacy must be maintained in accordance with the Digital Personal Data Protection Act, ensuring that all clinical data collected during the experiment in Mumbai is anonymized and securely stored.</w:t>
      </w:r>
    </w:p>
    <w:bookmarkEnd w:id="22"/>
    <w:bookmarkStart w:id="23" w:name="roles-and-responsibilities"/>
    <w:p>
      <w:pPr>
        <w:pStyle w:val="Heading2"/>
      </w:pPr>
      <w:r>
        <w:t xml:space="preserve">3. Roles and Responsibilities</w:t>
      </w:r>
    </w:p>
    <w:p>
      <w:pPr>
        <w:pStyle w:val="FirstParagraph"/>
      </w:pPr>
      <w:r>
        <w:t xml:space="preserve">The success of this experiment relies on the precise execution of duties by the Biomedical Engineer and the clinical team.</w:t>
      </w:r>
    </w:p>
    <w:p>
      <w:pPr>
        <w:numPr>
          <w:ilvl w:val="0"/>
          <w:numId w:val="1001"/>
        </w:numPr>
        <w:pStyle w:val="Compact"/>
      </w:pPr>
      <w:r>
        <w:rPr>
          <w:bCs/>
          <w:b/>
        </w:rPr>
        <w:t xml:space="preserve">Lead Biomedical Engineer:</w:t>
      </w:r>
      <w:r>
        <w:t xml:space="preserve"> </w:t>
      </w:r>
      <w:r>
        <w:t xml:space="preserve">Responsible for the technical setup, calibration of the prototype devices, troubleshooting hardware issues, and analyzing signal noise data. The engineer must ensure that the device functions correctly despite the electromagnetic interference common in Mumbai's urban infrastructure.</w:t>
      </w:r>
    </w:p>
    <w:p>
      <w:pPr>
        <w:numPr>
          <w:ilvl w:val="0"/>
          <w:numId w:val="1001"/>
        </w:numPr>
        <w:pStyle w:val="Compact"/>
      </w:pPr>
      <w:r>
        <w:rPr>
          <w:bCs/>
          <w:b/>
        </w:rPr>
        <w:t xml:space="preserve">Clinical Investigator:</w:t>
      </w:r>
      <w:r>
        <w:t xml:space="preserve"> </w:t>
      </w:r>
      <w:r>
        <w:t xml:space="preserve">A licensed physician responsible for patient recruitment, clinical assessment, and ensuring patient safety during the testing phase.</w:t>
      </w:r>
    </w:p>
    <w:p>
      <w:pPr>
        <w:numPr>
          <w:ilvl w:val="0"/>
          <w:numId w:val="1001"/>
        </w:numPr>
        <w:pStyle w:val="Compact"/>
      </w:pPr>
      <w:r>
        <w:rPr>
          <w:bCs/>
          <w:b/>
        </w:rPr>
        <w:t xml:space="preserve">Data Analyst:</w:t>
      </w:r>
      <w:r>
        <w:t xml:space="preserve"> </w:t>
      </w:r>
      <w:r>
        <w:t xml:space="preserve">Responsible for compiling the technical and clinical data for final review.</w:t>
      </w:r>
    </w:p>
    <w:bookmarkEnd w:id="23"/>
    <w:bookmarkStart w:id="24" w:name="X62577a5fd4aad4db8d2990b7ce65d5e9f79f904"/>
    <w:p>
      <w:pPr>
        <w:pStyle w:val="Heading2"/>
      </w:pPr>
      <w:r>
        <w:t xml:space="preserve">4. Experimental Environment and Site Selection</w:t>
      </w:r>
    </w:p>
    <w:p>
      <w:pPr>
        <w:pStyle w:val="FirstParagraph"/>
      </w:pPr>
      <w:r>
        <w:t xml:space="preserve">The experiment will be conducted across two distinct sites in Mumbai to capture a representative sample of usage conditions:</w:t>
      </w:r>
    </w:p>
    <w:p>
      <w:pPr>
        <w:numPr>
          <w:ilvl w:val="0"/>
          <w:numId w:val="1002"/>
        </w:numPr>
        <w:pStyle w:val="Compact"/>
      </w:pPr>
      <w:r>
        <w:rPr>
          <w:bCs/>
          <w:b/>
        </w:rPr>
        <w:t xml:space="preserve">Site A (Urban Tertiary Care):</w:t>
      </w:r>
      <w:r>
        <w:t xml:space="preserve"> </w:t>
      </w:r>
      <w:r>
        <w:t xml:space="preserve">A high-volume hospital in South Mumbai. This site tests the device under conditions of high electromagnetic interference from MRI machines, X-ray units, and dense Wi-Fi networks.</w:t>
      </w:r>
    </w:p>
    <w:p>
      <w:pPr>
        <w:numPr>
          <w:ilvl w:val="0"/>
          <w:numId w:val="1002"/>
        </w:numPr>
        <w:pStyle w:val="Compact"/>
      </w:pPr>
      <w:r>
        <w:rPr>
          <w:bCs/>
          <w:b/>
        </w:rPr>
        <w:t xml:space="preserve">Site B (Community Health Center):</w:t>
      </w:r>
      <w:r>
        <w:t xml:space="preserve"> </w:t>
      </w:r>
      <w:r>
        <w:t xml:space="preserve">A facility in a suburban area of Mumbai. This site tests the device's durability against power fluctuations and high ambient humidity, which are prevalent in the coastal climate of India.</w:t>
      </w:r>
    </w:p>
    <w:p>
      <w:pPr>
        <w:pStyle w:val="FirstParagraph"/>
      </w:pPr>
      <w:r>
        <w:t xml:space="preserve">The Biomedical Engineer must perform an environmental baseline assessment at both sites prior to the commencement of patient trials, recording temperature, humidity, and power voltage stability.</w:t>
      </w:r>
    </w:p>
    <w:bookmarkEnd w:id="24"/>
    <w:bookmarkStart w:id="28" w:name="methodology-and-procedure"/>
    <w:p>
      <w:pPr>
        <w:pStyle w:val="Heading2"/>
      </w:pPr>
      <w:r>
        <w:t xml:space="preserve">5. Methodology and Procedure</w:t>
      </w:r>
    </w:p>
    <w:bookmarkStart w:id="25" w:name="device-preparation"/>
    <w:p>
      <w:pPr>
        <w:pStyle w:val="Heading3"/>
      </w:pPr>
      <w:r>
        <w:t xml:space="preserve">5.1 Device Preparation</w:t>
      </w:r>
    </w:p>
    <w:p>
      <w:pPr>
        <w:pStyle w:val="FirstParagraph"/>
      </w:pPr>
      <w:r>
        <w:t xml:space="preserve">Before deployment, the Biomedical Engineer must perform a factory reset and a full diagnostic check on each prototype unit. This includes verifying battery life, sensor sensitivity, and wireless transmission capabilities. All devices must be labeled with a unique identifier for tracking purposes.</w:t>
      </w:r>
    </w:p>
    <w:bookmarkEnd w:id="25"/>
    <w:bookmarkStart w:id="26" w:name="Xae997913e3621628a86ff7a5879e8d57863774d"/>
    <w:p>
      <w:pPr>
        <w:pStyle w:val="Heading3"/>
      </w:pPr>
      <w:r>
        <w:t xml:space="preserve">5.2 Patient Recruitment and Inclusion Criteria</w:t>
      </w:r>
    </w:p>
    <w:p>
      <w:pPr>
        <w:pStyle w:val="FirstParagraph"/>
      </w:pPr>
      <w:r>
        <w:t xml:space="preserve">The study will recruit 100 adult patients (aged 18-75) presenting with cardiac symptoms. Inclusion criteria are standard for ECG monitoring. Exclusion criteria include patients with severe skin conditions that may interfere with electrode adhesion or those with existing implanted electronic devices that could cause interference.</w:t>
      </w:r>
    </w:p>
    <w:bookmarkEnd w:id="26"/>
    <w:bookmarkStart w:id="27" w:name="data-collection-process"/>
    <w:p>
      <w:pPr>
        <w:pStyle w:val="Heading3"/>
      </w:pPr>
      <w:r>
        <w:t xml:space="preserve">5.3 Data Collection Process</w:t>
      </w:r>
    </w:p>
    <w:p>
      <w:pPr>
        <w:pStyle w:val="FirstParagraph"/>
      </w:pPr>
      <w:r>
        <w:t xml:space="preserve">Upon patient consent, the Biomedical Engineer will assist in the application of the device. The protocol requires the following steps:</w:t>
      </w:r>
    </w:p>
    <w:p>
      <w:pPr>
        <w:numPr>
          <w:ilvl w:val="0"/>
          <w:numId w:val="1003"/>
        </w:numPr>
        <w:pStyle w:val="Compact"/>
      </w:pPr>
      <w:r>
        <w:rPr>
          <w:bCs/>
          <w:b/>
        </w:rPr>
        <w:t xml:space="preserve">Baseline Recording:</w:t>
      </w:r>
      <w:r>
        <w:t xml:space="preserve"> </w:t>
      </w:r>
      <w:r>
        <w:t xml:space="preserve">A 10-minute continuous ECG recording while the patient is at rest.</w:t>
      </w:r>
    </w:p>
    <w:p>
      <w:pPr>
        <w:numPr>
          <w:ilvl w:val="0"/>
          <w:numId w:val="1003"/>
        </w:numPr>
        <w:pStyle w:val="Compact"/>
      </w:pPr>
      <w:r>
        <w:rPr>
          <w:bCs/>
          <w:b/>
        </w:rPr>
        <w:t xml:space="preserve">Stress Test Simulation:</w:t>
      </w:r>
      <w:r>
        <w:t xml:space="preserve"> </w:t>
      </w:r>
      <w:r>
        <w:t xml:space="preserve">A 5-minute recording while the patient performs mild physical activity to test motion artifact rejection algorithms.</w:t>
      </w:r>
    </w:p>
    <w:p>
      <w:pPr>
        <w:numPr>
          <w:ilvl w:val="0"/>
          <w:numId w:val="1003"/>
        </w:numPr>
        <w:pStyle w:val="Compact"/>
      </w:pPr>
      <w:r>
        <w:rPr>
          <w:bCs/>
          <w:b/>
        </w:rPr>
        <w:t xml:space="preserve">Environmental Stress Test:</w:t>
      </w:r>
      <w:r>
        <w:t xml:space="preserve"> </w:t>
      </w:r>
      <w:r>
        <w:t xml:space="preserve">The device will be left running for 24 hours in the clinical environment to monitor battery drain and connectivity stability in the Mumbai hospital network.</w:t>
      </w:r>
    </w:p>
    <w:bookmarkEnd w:id="27"/>
    <w:bookmarkEnd w:id="28"/>
    <w:bookmarkStart w:id="29" w:name="technical-evaluation-metrics"/>
    <w:p>
      <w:pPr>
        <w:pStyle w:val="Heading2"/>
      </w:pPr>
      <w:r>
        <w:t xml:space="preserve">6. Technical Evaluation Metrics</w:t>
      </w:r>
    </w:p>
    <w:p>
      <w:pPr>
        <w:pStyle w:val="FirstParagraph"/>
      </w:pPr>
      <w:r>
        <w:t xml:space="preserve">The Biomedical Engineer will evaluate the device based on the following quantitative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 Specification</w:t>
            </w:r>
          </w:p>
        </w:tc>
        <w:tc>
          <w:tcPr/>
          <w:p>
            <w:pPr>
              <w:pStyle w:val="Compact"/>
              <w:jc w:val="left"/>
            </w:pPr>
            <w:r>
              <w:t xml:space="preserve">Acceptance Criteria</w:t>
            </w:r>
          </w:p>
        </w:tc>
      </w:tr>
      <w:tr>
        <w:tc>
          <w:tcPr/>
          <w:p>
            <w:pPr>
              <w:pStyle w:val="Compact"/>
              <w:jc w:val="left"/>
            </w:pPr>
            <w:r>
              <w:t xml:space="preserve">Signal-to-Noise Ratio (SNR)</w:t>
            </w:r>
          </w:p>
        </w:tc>
        <w:tc>
          <w:tcPr/>
          <w:p>
            <w:pPr>
              <w:pStyle w:val="Compact"/>
              <w:jc w:val="left"/>
            </w:pPr>
            <w:r>
              <w:t xml:space="preserve">&gt; 20 dB</w:t>
            </w:r>
          </w:p>
        </w:tc>
        <w:tc>
          <w:tcPr/>
          <w:p>
            <w:pPr>
              <w:pStyle w:val="Compact"/>
              <w:jc w:val="left"/>
            </w:pPr>
            <w:r>
              <w:t xml:space="preserve">Must remain stable despite ambient electrical noise.</w:t>
            </w:r>
          </w:p>
        </w:tc>
      </w:tr>
      <w:tr>
        <w:tc>
          <w:tcPr/>
          <w:p>
            <w:pPr>
              <w:pStyle w:val="Compact"/>
              <w:jc w:val="left"/>
            </w:pPr>
            <w:r>
              <w:t xml:space="preserve">Battery Life</w:t>
            </w:r>
          </w:p>
        </w:tc>
        <w:tc>
          <w:tcPr/>
          <w:p>
            <w:pPr>
              <w:pStyle w:val="Compact"/>
              <w:jc w:val="left"/>
            </w:pPr>
            <w:r>
              <w:t xml:space="preserve">&gt; 48 hours</w:t>
            </w:r>
          </w:p>
        </w:tc>
        <w:tc>
          <w:tcPr/>
          <w:p>
            <w:pPr>
              <w:pStyle w:val="Compact"/>
              <w:jc w:val="left"/>
            </w:pPr>
            <w:r>
              <w:t xml:space="preserve">Must sustain operation during power outages.</w:t>
            </w:r>
          </w:p>
        </w:tc>
      </w:tr>
      <w:tr>
        <w:tc>
          <w:tcPr/>
          <w:p>
            <w:pPr>
              <w:pStyle w:val="Compact"/>
              <w:jc w:val="left"/>
            </w:pPr>
            <w:r>
              <w:t xml:space="preserve">Data Transmission Latency</w:t>
            </w:r>
          </w:p>
        </w:tc>
        <w:tc>
          <w:tcPr/>
          <w:p>
            <w:pPr>
              <w:pStyle w:val="Compact"/>
              <w:jc w:val="left"/>
            </w:pPr>
            <w:r>
              <w:t xml:space="preserve">&lt; 2 seconds</w:t>
            </w:r>
          </w:p>
        </w:tc>
        <w:tc>
          <w:tcPr/>
          <w:p>
            <w:pPr>
              <w:pStyle w:val="Compact"/>
              <w:jc w:val="left"/>
            </w:pPr>
            <w:r>
              <w:t xml:space="preserve">Critical for real-time monitoring in emergency wards.</w:t>
            </w:r>
          </w:p>
        </w:tc>
      </w:tr>
      <w:tr>
        <w:tc>
          <w:tcPr/>
          <w:p>
            <w:pPr>
              <w:pStyle w:val="Compact"/>
              <w:jc w:val="left"/>
            </w:pPr>
            <w:r>
              <w:t xml:space="preserve">Humidity Resistance</w:t>
            </w:r>
          </w:p>
        </w:tc>
        <w:tc>
          <w:tcPr/>
          <w:p>
            <w:pPr>
              <w:pStyle w:val="Compact"/>
              <w:jc w:val="left"/>
            </w:pPr>
            <w:r>
              <w:t xml:space="preserve">Up to 90% RH</w:t>
            </w:r>
          </w:p>
        </w:tc>
        <w:tc>
          <w:tcPr/>
          <w:p>
            <w:pPr>
              <w:pStyle w:val="Compact"/>
              <w:jc w:val="left"/>
            </w:pPr>
            <w:r>
              <w:t xml:space="preserve">No condensation or short-circuiting observed.</w:t>
            </w:r>
          </w:p>
        </w:tc>
      </w:tr>
    </w:tbl>
    <w:bookmarkEnd w:id="29"/>
    <w:bookmarkStart w:id="30" w:name="risk-management-and-safety"/>
    <w:p>
      <w:pPr>
        <w:pStyle w:val="Heading2"/>
      </w:pPr>
      <w:r>
        <w:t xml:space="preserve">7. Risk Management and Safety</w:t>
      </w:r>
    </w:p>
    <w:p>
      <w:pPr>
        <w:pStyle w:val="FirstParagraph"/>
      </w:pPr>
      <w:r>
        <w:t xml:space="preserve">Safety is paramount in this Experiment Protocol. The Biomedical Engineer must ensure that all devices are electrically isolated to prevent micro-shock hazards to patients. In the event of a device malfunction, the protocol mandates an immediate switch to standard hospital-grade equipment. A detailed incident report must be filed within 24 hours of any adverse event.</w:t>
      </w:r>
    </w:p>
    <w:bookmarkEnd w:id="30"/>
    <w:bookmarkStart w:id="31" w:name="data-analysis-and-reporting"/>
    <w:p>
      <w:pPr>
        <w:pStyle w:val="Heading2"/>
      </w:pPr>
      <w:r>
        <w:t xml:space="preserve">8. Data Analysis and Reporting</w:t>
      </w:r>
    </w:p>
    <w:p>
      <w:pPr>
        <w:pStyle w:val="FirstParagraph"/>
      </w:pPr>
      <w:r>
        <w:t xml:space="preserve">Upon completion of the trials in Mumbai, the Biomedical Engineer will compile a technical report detailing the performance of the devices. This report will include statistical analysis of signal quality, failure rates, and environmental impact assessments. The findings will be presented to the regulatory committee to determine if the device is suitable for mass production and distribution across India.</w:t>
      </w:r>
    </w:p>
    <w:bookmarkEnd w:id="31"/>
    <w:bookmarkStart w:id="32" w:name="conclusion"/>
    <w:p>
      <w:pPr>
        <w:pStyle w:val="Heading2"/>
      </w:pPr>
      <w:r>
        <w:t xml:space="preserve">9. Conclusion</w:t>
      </w:r>
    </w:p>
    <w:p>
      <w:pPr>
        <w:pStyle w:val="FirstParagraph"/>
      </w:pPr>
      <w:r>
        <w:t xml:space="preserve">This Experiment Protocol provides a structured framework for validating biomedical technology in a challenging and representative environment. By focusing on the specific needs of Mumbai and adhering to strict engineering standards, this study aims to contribute to the advancement of accessible healthcare technology in India.</w:t>
      </w:r>
    </w:p>
    <w:p>
      <w:pPr>
        <w:pStyle w:val="BodyText"/>
      </w:pPr>
      <w:r>
        <w:rPr>
          <w:bCs/>
          <w:b/>
        </w:rPr>
        <w:t xml:space="preserve">Lead Biomedical Engineer Signature:</w:t>
      </w:r>
    </w:p>
    <w:p>
      <w:pPr>
        <w:pStyle w:val="BodyText"/>
      </w:pPr>
      <w:r>
        <w:t xml:space="preserve">Name: __________________________</w:t>
      </w:r>
    </w:p>
    <w:p>
      <w:pPr>
        <w:pStyle w:val="BodyText"/>
      </w:pPr>
      <w:r>
        <w:t xml:space="preserve">Date: __________________________</w:t>
      </w:r>
    </w:p>
    <w:p>
      <w:pPr>
        <w:pStyle w:val="BodyText"/>
      </w:pPr>
      <w:r>
        <w:rPr>
          <w:bCs/>
          <w:b/>
        </w:rPr>
        <w:t xml:space="preserve">Clinical Investigator Signature:</w:t>
      </w:r>
    </w:p>
    <w:p>
      <w:pPr>
        <w:pStyle w:val="BodyText"/>
      </w:pPr>
      <w:r>
        <w:t xml:space="preserve">Name: __________________________</w:t>
      </w:r>
    </w:p>
    <w:p>
      <w:pPr>
        <w:pStyle w:val="BodyText"/>
      </w:pPr>
      <w:r>
        <w:t xml:space="preserve">Date: 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Validation in Mumbai, India</dc:title>
  <dc:creator/>
  <dc:language>en</dc:language>
  <cp:keywords/>
  <dcterms:created xsi:type="dcterms:W3CDTF">2026-10-10T02:09:24Z</dcterms:created>
  <dcterms:modified xsi:type="dcterms:W3CDTF">2026-10-10T02:09:24Z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