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Validation</w:t>
      </w:r>
      <w:r>
        <w:t xml:space="preserve"> </w:t>
      </w:r>
      <w:r>
        <w:t xml:space="preserve">in</w:t>
      </w:r>
      <w:r>
        <w:t xml:space="preserve"> </w:t>
      </w:r>
      <w:r>
        <w:t xml:space="preserve">Indonesia</w:t>
      </w:r>
      <w:r>
        <w:t xml:space="preserve"> </w:t>
      </w:r>
      <w:r>
        <w:t xml:space="preserve">Jakarta</w:t>
      </w:r>
    </w:p>
    <w:bookmarkStart w:id="20" w:name="X643baa2a9a2e6e553cb02d0eebb3767d1971106"/>
    <w:p>
      <w:pPr>
        <w:pStyle w:val="Heading1"/>
      </w:pPr>
      <w:r>
        <w:t xml:space="preserve">Experiment Protocol: Clinical Validation of Portable Diagnostic Imaging Systems</w:t>
      </w:r>
    </w:p>
    <w:p>
      <w:pPr>
        <w:pStyle w:val="FirstParagraph"/>
      </w:pPr>
      <w:r>
        <w:rPr>
          <w:bCs/>
          <w:b/>
        </w:rPr>
        <w:t xml:space="preserve">Document ID:</w:t>
      </w:r>
      <w:r>
        <w:t xml:space="preserve"> </w:t>
      </w:r>
      <w:r>
        <w:t xml:space="preserve">BE-JKT-2023-004</w:t>
      </w:r>
    </w:p>
    <w:p>
      <w:pPr>
        <w:pStyle w:val="BodyText"/>
      </w:pPr>
      <w:r>
        <w:rPr>
          <w:bCs/>
          <w:b/>
        </w:rPr>
        <w:t xml:space="preserve">Location:</w:t>
      </w:r>
      <w:r>
        <w:t xml:space="preserve"> </w:t>
      </w:r>
      <w:r>
        <w:t xml:space="preserve">Indonesia Jakarta</w:t>
      </w:r>
    </w:p>
    <w:p>
      <w:pPr>
        <w:pStyle w:val="BodyText"/>
      </w:pPr>
      <w:r>
        <w:rPr>
          <w:bCs/>
          <w:b/>
        </w:rPr>
        <w:t xml:space="preserve">Role:</w:t>
      </w:r>
      <w:r>
        <w:t xml:space="preserve"> </w:t>
      </w:r>
      <w:r>
        <w:t xml:space="preserve">Biomedical Engineer</w:t>
      </w:r>
    </w:p>
    <w:p>
      <w:pPr>
        <w:pStyle w:val="BodyText"/>
      </w:pPr>
      <w:r>
        <w:rPr>
          <w:bCs/>
          <w:b/>
        </w:rPr>
        <w:t xml:space="preserve">Date:</w:t>
      </w:r>
      <w:r>
        <w:t xml:space="preserve"> </w:t>
      </w:r>
      <w:r>
        <w:t xml:space="preserve">October 26, 2023</w:t>
      </w:r>
    </w:p>
    <w:bookmarkEnd w:id="20"/>
    <w:bookmarkStart w:id="21" w:name="introduction-and-objective"/>
    <w:p>
      <w:pPr>
        <w:pStyle w:val="Heading2"/>
      </w:pPr>
      <w:r>
        <w:t xml:space="preserve">1. Introduction and Objective</w:t>
      </w:r>
    </w:p>
    <w:p>
      <w:pPr>
        <w:pStyle w:val="FirstParagraph"/>
      </w:pPr>
      <w:r>
        <w:t xml:space="preserve">This Experiment Protocol outlines the rigorous testing procedures required for the validation of a new portable ultrasound imaging device intended for deployment in rural healthcare facilities across Indonesia. The primary objective is to ensure that the device meets the safety and performance standards mandated by the National Agency of Drug and Food Control (BPOM) and international ISO standards. The Biomedical Engineer is responsible for overseeing the technical integrity of the experiment, ensuring that all data collected in Indonesia Jakarta is accurate, reproducible, and compliant with local regulations.</w:t>
      </w:r>
    </w:p>
    <w:bookmarkEnd w:id="21"/>
    <w:bookmarkStart w:id="22" w:name="scope-and-regulatory-compliance"/>
    <w:p>
      <w:pPr>
        <w:pStyle w:val="Heading2"/>
      </w:pPr>
      <w:r>
        <w:t xml:space="preserve">2. Scope and Regulatory Compliance</w:t>
      </w:r>
    </w:p>
    <w:p>
      <w:pPr>
        <w:pStyle w:val="FirstParagraph"/>
      </w:pPr>
      <w:r>
        <w:t xml:space="preserve">The scope of this experiment is limited to the evaluation of image quality, electrical safety, and thermal performance of the device under tropical environmental conditions typical of Indonesia Jakarta. The Biomedical Engineer must ensure that the protocol adheres to:</w:t>
      </w:r>
    </w:p>
    <w:p>
      <w:pPr>
        <w:numPr>
          <w:ilvl w:val="0"/>
          <w:numId w:val="1001"/>
        </w:numPr>
        <w:pStyle w:val="Compact"/>
      </w:pPr>
      <w:r>
        <w:t xml:space="preserve">BPOM Regulation No. 17 of 2017 regarding Medical Device Registration.</w:t>
      </w:r>
    </w:p>
    <w:p>
      <w:pPr>
        <w:numPr>
          <w:ilvl w:val="0"/>
          <w:numId w:val="1001"/>
        </w:numPr>
        <w:pStyle w:val="Compact"/>
      </w:pPr>
      <w:r>
        <w:t xml:space="preserve">IEC 60601-1 for medical electrical equipment safety.</w:t>
      </w:r>
    </w:p>
    <w:p>
      <w:pPr>
        <w:numPr>
          <w:ilvl w:val="0"/>
          <w:numId w:val="1001"/>
        </w:numPr>
        <w:pStyle w:val="Compact"/>
      </w:pPr>
      <w:r>
        <w:t xml:space="preserve">Local ethical guidelines provided by the Ministry of Health of Indonesia.</w:t>
      </w:r>
    </w:p>
    <w:p>
      <w:pPr>
        <w:pStyle w:val="FirstParagraph"/>
      </w:pPr>
      <w:r>
        <w:t xml:space="preserve">Failure to comply with these regulations may result in the rejection of the device for clinical use in Indonesia Jakarta.</w:t>
      </w:r>
    </w:p>
    <w:bookmarkEnd w:id="22"/>
    <w:bookmarkStart w:id="23" w:name="roles-and-responsibilities"/>
    <w:p>
      <w:pPr>
        <w:pStyle w:val="Heading2"/>
      </w:pPr>
      <w:r>
        <w:t xml:space="preserve">3. Roles and Responsibilities</w:t>
      </w:r>
    </w:p>
    <w:p>
      <w:pPr>
        <w:pStyle w:val="FirstParagraph"/>
      </w:pPr>
      <w:r>
        <w:t xml:space="preserve">The Biomedical Engineer serves as the lead technical authority for this experiment. Their responsibilities include:</w:t>
      </w:r>
    </w:p>
    <w:p>
      <w:pPr>
        <w:numPr>
          <w:ilvl w:val="0"/>
          <w:numId w:val="1002"/>
        </w:numPr>
        <w:pStyle w:val="Compact"/>
      </w:pPr>
      <w:r>
        <w:t xml:space="preserve">Calibrating all measurement instruments prior to testing.</w:t>
      </w:r>
    </w:p>
    <w:p>
      <w:pPr>
        <w:numPr>
          <w:ilvl w:val="0"/>
          <w:numId w:val="1002"/>
        </w:numPr>
        <w:pStyle w:val="Compact"/>
      </w:pPr>
      <w:r>
        <w:t xml:space="preserve">Monitoring environmental conditions (temperature and humidity) in the testing facility in Indonesia Jakarta.</w:t>
      </w:r>
    </w:p>
    <w:p>
      <w:pPr>
        <w:numPr>
          <w:ilvl w:val="0"/>
          <w:numId w:val="1002"/>
        </w:numPr>
        <w:pStyle w:val="Compact"/>
      </w:pPr>
      <w:r>
        <w:t xml:space="preserve">Documenting all deviations from the standard operating procedures.</w:t>
      </w:r>
    </w:p>
    <w:p>
      <w:pPr>
        <w:numPr>
          <w:ilvl w:val="0"/>
          <w:numId w:val="1002"/>
        </w:numPr>
        <w:pStyle w:val="Compact"/>
      </w:pPr>
      <w:r>
        <w:t xml:space="preserve">Ensuring that all personnel involved are trained in the safe handling of medical devices.</w:t>
      </w:r>
    </w:p>
    <w:p>
      <w:pPr>
        <w:pStyle w:val="FirstParagraph"/>
      </w:pPr>
      <w:r>
        <w:t xml:space="preserve">Collaboration with local clinicians in Indonesia Jakarta is essential to validate the usability of the device in real-world scenarios.</w:t>
      </w:r>
    </w:p>
    <w:bookmarkEnd w:id="23"/>
    <w:bookmarkStart w:id="24" w:name="experimental-setup"/>
    <w:p>
      <w:pPr>
        <w:pStyle w:val="Heading2"/>
      </w:pPr>
      <w:r>
        <w:t xml:space="preserve">4. Experimental Setup</w:t>
      </w:r>
    </w:p>
    <w:p>
      <w:pPr>
        <w:pStyle w:val="FirstParagraph"/>
      </w:pPr>
      <w:r>
        <w:t xml:space="preserve">The experiment will be conducted in a controlled laboratory environment located in Indonesia Jakarta. The setup includes:</w:t>
      </w:r>
    </w:p>
    <w:p>
      <w:pPr>
        <w:numPr>
          <w:ilvl w:val="0"/>
          <w:numId w:val="1003"/>
        </w:numPr>
        <w:pStyle w:val="Compact"/>
      </w:pPr>
      <w:r>
        <w:rPr>
          <w:bCs/>
          <w:b/>
        </w:rPr>
        <w:t xml:space="preserve">Test Subject:</w:t>
      </w:r>
      <w:r>
        <w:t xml:space="preserve"> </w:t>
      </w:r>
      <w:r>
        <w:t xml:space="preserve">Standard ultrasound phantoms and, where ethically approved, human volunteers.</w:t>
      </w:r>
    </w:p>
    <w:p>
      <w:pPr>
        <w:numPr>
          <w:ilvl w:val="0"/>
          <w:numId w:val="1003"/>
        </w:numPr>
        <w:pStyle w:val="Compact"/>
      </w:pPr>
      <w:r>
        <w:rPr>
          <w:bCs/>
          <w:b/>
        </w:rPr>
        <w:t xml:space="preserve">Equipment:</w:t>
      </w:r>
      <w:r>
        <w:t xml:space="preserve"> </w:t>
      </w:r>
      <w:r>
        <w:t xml:space="preserve">The prototype portable ultrasound device, reference ultrasound system, power quality analyzer, and thermal imaging camera.</w:t>
      </w:r>
    </w:p>
    <w:p>
      <w:pPr>
        <w:numPr>
          <w:ilvl w:val="0"/>
          <w:numId w:val="1003"/>
        </w:numPr>
        <w:pStyle w:val="Compact"/>
      </w:pPr>
      <w:r>
        <w:rPr>
          <w:bCs/>
          <w:b/>
        </w:rPr>
        <w:t xml:space="preserve">Environmental Controls:</w:t>
      </w:r>
      <w:r>
        <w:t xml:space="preserve"> </w:t>
      </w:r>
      <w:r>
        <w:t xml:space="preserve">The laboratory will be maintained at a temperature of 25°C ± 2°C and relative humidity of 60% ± 5%, reflecting average conditions in Indonesia Jakarta.</w:t>
      </w:r>
    </w:p>
    <w:p>
      <w:pPr>
        <w:pStyle w:val="FirstParagraph"/>
      </w:pPr>
      <w:r>
        <w:t xml:space="preserve">The Biomedical Engineer must verify that all equipment is functioning correctly before the start of each testing session.</w:t>
      </w:r>
    </w:p>
    <w:bookmarkEnd w:id="24"/>
    <w:bookmarkStart w:id="29" w:name="procedure"/>
    <w:p>
      <w:pPr>
        <w:pStyle w:val="Heading2"/>
      </w:pPr>
      <w:r>
        <w:t xml:space="preserve">5. Procedure</w:t>
      </w:r>
    </w:p>
    <w:bookmarkStart w:id="25" w:name="pre-experiment-checks"/>
    <w:p>
      <w:pPr>
        <w:pStyle w:val="Heading3"/>
      </w:pPr>
      <w:r>
        <w:t xml:space="preserve">5.1. Pre-Experiment Checks</w:t>
      </w:r>
    </w:p>
    <w:p>
      <w:pPr>
        <w:pStyle w:val="FirstParagraph"/>
      </w:pPr>
      <w:r>
        <w:t xml:space="preserve">The Biomedical Engineer will perform a visual inspection of the device to ensure there are no physical damages. All software versions will be documented. The power supply will be checked to ensure it meets the voltage standards of Indonesia Jakarta (220V/50Hz).</w:t>
      </w:r>
    </w:p>
    <w:bookmarkEnd w:id="25"/>
    <w:bookmarkStart w:id="26" w:name="image-quality-assessment"/>
    <w:p>
      <w:pPr>
        <w:pStyle w:val="Heading3"/>
      </w:pPr>
      <w:r>
        <w:t xml:space="preserve">5.2. Image Quality Assessment</w:t>
      </w:r>
    </w:p>
    <w:p>
      <w:pPr>
        <w:pStyle w:val="FirstParagraph"/>
      </w:pPr>
      <w:r>
        <w:t xml:space="preserve">Using standard phantoms, the Biomedical Engineer will capture images at various depths and frequencies. These images will be compared against a reference system to evaluate resolution, contrast, and artifact levels. Data will be recorded in a standardized format for later analysis.</w:t>
      </w:r>
    </w:p>
    <w:bookmarkEnd w:id="26"/>
    <w:bookmarkStart w:id="27" w:name="electrical-safety-testing"/>
    <w:p>
      <w:pPr>
        <w:pStyle w:val="Heading3"/>
      </w:pPr>
      <w:r>
        <w:t xml:space="preserve">5.3. Electrical Safety Testing</w:t>
      </w:r>
    </w:p>
    <w:p>
      <w:pPr>
        <w:pStyle w:val="FirstParagraph"/>
      </w:pPr>
      <w:r>
        <w:t xml:space="preserve">Leakage currents and insulation resistance will be measured according to IEC 60601-1 standards. The Biomedical Engineer must ensure that all measurements are within safe limits to protect patients and operators in Indonesia Jakarta.</w:t>
      </w:r>
    </w:p>
    <w:bookmarkEnd w:id="27"/>
    <w:bookmarkStart w:id="28" w:name="thermal-performance-testing"/>
    <w:p>
      <w:pPr>
        <w:pStyle w:val="Heading3"/>
      </w:pPr>
      <w:r>
        <w:t xml:space="preserve">5.4. Thermal Performance Testing</w:t>
      </w:r>
    </w:p>
    <w:p>
      <w:pPr>
        <w:pStyle w:val="FirstParagraph"/>
      </w:pPr>
      <w:r>
        <w:t xml:space="preserve">The device will be operated continuously for 4 hours to monitor temperature rise. The Biomedical Engineer will use a thermal imaging camera to identify any hotspots that could pose a risk to users.</w:t>
      </w:r>
    </w:p>
    <w:bookmarkEnd w:id="28"/>
    <w:bookmarkEnd w:id="29"/>
    <w:bookmarkStart w:id="30" w:name="data-collection-and-analysis"/>
    <w:p>
      <w:pPr>
        <w:pStyle w:val="Heading2"/>
      </w:pPr>
      <w:r>
        <w:t xml:space="preserve">6. Data Collection and Analysis</w:t>
      </w:r>
    </w:p>
    <w:p>
      <w:pPr>
        <w:pStyle w:val="FirstParagraph"/>
      </w:pPr>
      <w:r>
        <w:t xml:space="preserve">All data collected during the experiment will be stored securely in a database located in Indonesia Jakarta. The Biomedical Engineer will analyze the data to determine if the device meets the predefined acceptance criteria. Statistical methods will be used to ensure the reliability of the results. Any anomalies will be investigated thoroughly, and corrective actions will be documented.</w:t>
      </w:r>
    </w:p>
    <w:bookmarkEnd w:id="30"/>
    <w:bookmarkStart w:id="31" w:name="risk-management"/>
    <w:p>
      <w:pPr>
        <w:pStyle w:val="Heading2"/>
      </w:pPr>
      <w:r>
        <w:t xml:space="preserve">7. Risk Management</w:t>
      </w:r>
    </w:p>
    <w:p>
      <w:pPr>
        <w:pStyle w:val="FirstParagraph"/>
      </w:pPr>
      <w:r>
        <w:t xml:space="preserve">Potential risks include electrical hazards, data loss, and equipment failure. The Biomedical Engineer must implement mitigation strategies, such as using uninterruptible power supplies (UPS) and regular data backups. In the event of an adverse incident, the Biomedical Engineer is responsible for immediately halting the experiment and reporting the incident to the relevant authorities in Indonesia Jakarta.</w:t>
      </w:r>
    </w:p>
    <w:bookmarkEnd w:id="31"/>
    <w:bookmarkStart w:id="32" w:name="conclusion-and-reporting"/>
    <w:p>
      <w:pPr>
        <w:pStyle w:val="Heading2"/>
      </w:pPr>
      <w:r>
        <w:t xml:space="preserve">8. Conclusion and Reporting</w:t>
      </w:r>
    </w:p>
    <w:p>
      <w:pPr>
        <w:pStyle w:val="FirstParagraph"/>
      </w:pPr>
      <w:r>
        <w:t xml:space="preserve">Upon completion of the experiment, the Biomedical Engineer will compile a comprehensive report detailing the methodology, results, and conclusions. This report will be submitted to the regulatory bodies in Indonesia Jakarta for review. The findings will inform the final decision on whether the device is suitable for clinical use in Indonesia.</w:t>
      </w:r>
    </w:p>
    <w:bookmarkEnd w:id="32"/>
    <w:p>
      <w:pPr>
        <w:pStyle w:val="BodyText"/>
      </w:pPr>
      <w:r>
        <w:rPr>
          <w:bCs/>
          <w:b/>
        </w:rPr>
        <w:t xml:space="preserve">Biomedical Engineer:</w:t>
      </w:r>
    </w:p>
    <w:p>
      <w:pPr>
        <w:pStyle w:val="BodyText"/>
      </w:pPr>
      <w:r>
        <w:t xml:space="preserve">Signature</w:t>
      </w:r>
    </w:p>
    <w:p>
      <w:pPr>
        <w:pStyle w:val="BodyText"/>
      </w:pPr>
      <w:r>
        <w:t xml:space="preserve">Name: ________________________</w:t>
      </w:r>
    </w:p>
    <w:p>
      <w:pPr>
        <w:pStyle w:val="BodyText"/>
      </w:pPr>
      <w:r>
        <w:rPr>
          <w:bCs/>
          <w:b/>
        </w:rPr>
        <w:t xml:space="preserve">Project Manager:</w:t>
      </w:r>
    </w:p>
    <w:p>
      <w:pPr>
        <w:pStyle w:val="BodyText"/>
      </w:pPr>
      <w:r>
        <w:t xml:space="preserve">Signature</w:t>
      </w:r>
    </w:p>
    <w:p>
      <w:pPr>
        <w:pStyle w:val="BodyText"/>
      </w:pPr>
      <w:r>
        <w:t xml:space="preserve">Name: 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Validation in Indonesia Jakarta</dc:title>
  <dc:creator/>
  <dc:language>en</dc:language>
  <cp:keywords/>
  <dcterms:created xsi:type="dcterms:W3CDTF">2026-10-10T02:27:31Z</dcterms:created>
  <dcterms:modified xsi:type="dcterms:W3CDTF">2026-10-10T02:27:31Z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