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Tehran,</w:t>
      </w:r>
      <w:r>
        <w:t xml:space="preserve"> </w:t>
      </w:r>
      <w:r>
        <w:t xml:space="preserve">Iran</w:t>
      </w:r>
    </w:p>
    <w:bookmarkStart w:id="20" w:name="standard-experiment-protocol"/>
    <w:p>
      <w:pPr>
        <w:pStyle w:val="Heading1"/>
      </w:pPr>
      <w:r>
        <w:t xml:space="preserve">Standard Experiment Protocol</w:t>
      </w:r>
    </w:p>
    <w:p>
      <w:pPr>
        <w:pStyle w:val="FirstParagraph"/>
      </w:pPr>
      <w:r>
        <w:rPr>
          <w:bCs/>
          <w:b/>
        </w:rPr>
        <w:t xml:space="preserve">Discipline:</w:t>
      </w:r>
      <w:r>
        <w:t xml:space="preserve"> </w:t>
      </w:r>
      <w:r>
        <w:t xml:space="preserve">Biomedical Engineering</w:t>
      </w:r>
    </w:p>
    <w:p>
      <w:pPr>
        <w:pStyle w:val="BodyText"/>
      </w:pPr>
      <w:r>
        <w:rPr>
          <w:bCs/>
          <w:b/>
        </w:rPr>
        <w:t xml:space="preserve">Location:</w:t>
      </w:r>
      <w:r>
        <w:t xml:space="preserve"> </w:t>
      </w:r>
      <w:r>
        <w:t xml:space="preserve">Tehran, Iran</w:t>
      </w:r>
    </w:p>
    <w:p>
      <w:pPr>
        <w:pStyle w:val="BodyText"/>
      </w:pPr>
      <w:r>
        <w:rPr>
          <w:bCs/>
          <w:b/>
        </w:rPr>
        <w:t xml:space="preserve">Protocol ID:</w:t>
      </w:r>
      <w:r>
        <w:t xml:space="preserve"> </w:t>
      </w:r>
      <w:r>
        <w:t xml:space="preserve">IRN-THR-BME-2024-001</w:t>
      </w:r>
    </w:p>
    <w:p>
      <w:pPr>
        <w:pStyle w:val="BodyText"/>
      </w:pPr>
      <w:r>
        <w:rPr>
          <w:bCs/>
          <w:b/>
        </w:rPr>
        <w:t xml:space="preserve">Date of Issue:</w:t>
      </w:r>
      <w:r>
        <w:t xml:space="preserve"> </w:t>
      </w:r>
      <w:r>
        <w:t xml:space="preserve">October 24, 2024</w:t>
      </w:r>
    </w:p>
    <w:bookmarkEnd w:id="20"/>
    <w:p>
      <w:pPr>
        <w:pStyle w:val="BodyText"/>
      </w:pPr>
      <w:r>
        <w:t xml:space="preserve">1. Introduction and Objective</w:t>
      </w:r>
    </w:p>
    <w:p>
      <w:pPr>
        <w:pStyle w:val="BodyText"/>
      </w:pPr>
      <w:r>
        <w:t xml:space="preserve">This document outlines the standardized operating procedure for biomedical engineering experiments conducted within the metropolitan area of Tehran, Iran. The primary objective of this protocol is to ensure the safety, ethical integrity, and scientific validity of research involving medical devices, biomaterials, or physiological data acquisition.</w:t>
      </w:r>
    </w:p>
    <w:p>
      <w:pPr>
        <w:pStyle w:val="BodyText"/>
      </w:pPr>
      <w:r>
        <w:t xml:space="preserve">As a Biomedical Engineer operating in Tehran, adherence to this protocol is mandatory. The research environment in Iran, particularly in Tehran, is characterized by advanced academic institutions and clinical centers. However, it also requires strict compliance with local regulatory frameworks, including the Ministry of Health and Medical Education (MOHME) and the Iranian Food and Drug Administration (IFDA). This protocol serves as a bridge between international engineering standards and local Iranian regulatory requirements.</w:t>
      </w:r>
    </w:p>
    <w:p>
      <w:pPr>
        <w:pStyle w:val="BodyText"/>
      </w:pPr>
      <w:r>
        <w:t xml:space="preserve">2. Regulatory Compliance and Ethics</w:t>
      </w:r>
    </w:p>
    <w:p>
      <w:pPr>
        <w:pStyle w:val="BodyText"/>
      </w:pPr>
      <w:r>
        <w:t xml:space="preserve">All experiments must be pre-approved by the Institutional Review Board (IRB) or Ethics Committee of the host institution in Tehran (e.g., Tehran University of Medical Sciences, Shahid Beheshti University of Medical Sciences).</w:t>
      </w:r>
    </w:p>
    <w:p>
      <w:pPr>
        <w:numPr>
          <w:ilvl w:val="0"/>
          <w:numId w:val="1001"/>
        </w:numPr>
        <w:pStyle w:val="Compact"/>
      </w:pPr>
      <w:r>
        <w:rPr>
          <w:bCs/>
          <w:b/>
        </w:rPr>
        <w:t xml:space="preserve">Human Subjects:</w:t>
      </w:r>
      <w:r>
        <w:t xml:space="preserve"> </w:t>
      </w:r>
      <w:r>
        <w:t xml:space="preserve">If the experiment involves human participants, informed consent must be obtained in accordance with the Declaration of Helsinki and Iranian national laws. Consent forms must be available in both Persian and English.</w:t>
      </w:r>
    </w:p>
    <w:p>
      <w:pPr>
        <w:numPr>
          <w:ilvl w:val="0"/>
          <w:numId w:val="1001"/>
        </w:numPr>
        <w:pStyle w:val="Compact"/>
      </w:pPr>
      <w:r>
        <w:rPr>
          <w:bCs/>
          <w:b/>
        </w:rPr>
        <w:t xml:space="preserve">Animal Subjects:</w:t>
      </w:r>
      <w:r>
        <w:t xml:space="preserve"> </w:t>
      </w:r>
      <w:r>
        <w:t xml:space="preserve">Experiments involving animal models must comply with the Iranian National Committee for Ethics in Animal Research guidelines.</w:t>
      </w:r>
    </w:p>
    <w:p>
      <w:pPr>
        <w:numPr>
          <w:ilvl w:val="0"/>
          <w:numId w:val="1001"/>
        </w:numPr>
        <w:pStyle w:val="Compact"/>
      </w:pPr>
      <w:r>
        <w:rPr>
          <w:bCs/>
          <w:b/>
        </w:rPr>
        <w:t xml:space="preserve">Device Registration:</w:t>
      </w:r>
      <w:r>
        <w:t xml:space="preserve"> </w:t>
      </w:r>
      <w:r>
        <w:t xml:space="preserve">Any prototype medical device used in the experiment must be registered with the IFDA for research purposes.</w:t>
      </w:r>
    </w:p>
    <w:p>
      <w:pPr>
        <w:pStyle w:val="FirstParagraph"/>
      </w:pPr>
      <w:r>
        <w:t xml:space="preserve">3. Roles and Responsibilities</w:t>
      </w:r>
    </w:p>
    <w:p>
      <w:pPr>
        <w:pStyle w:val="BodyText"/>
      </w:pPr>
      <w:r>
        <w:t xml:space="preserve">The Biomedical Engineer is the lead investigator responsible for the technical execution of the experiment. Specific responsibilities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Lead Biomedical Engineer</w:t>
            </w:r>
          </w:p>
        </w:tc>
        <w:tc>
          <w:tcPr/>
          <w:p>
            <w:pPr>
              <w:pStyle w:val="Compact"/>
              <w:jc w:val="left"/>
            </w:pPr>
            <w:r>
              <w:t xml:space="preserve">Design of the experimental setup, calibration of equipment, data integrity, and safety oversight.</w:t>
            </w:r>
          </w:p>
        </w:tc>
      </w:tr>
      <w:tr>
        <w:tc>
          <w:tcPr/>
          <w:p>
            <w:pPr>
              <w:pStyle w:val="Compact"/>
              <w:jc w:val="left"/>
            </w:pPr>
            <w:r>
              <w:t xml:space="preserve">Clinical Supervisor</w:t>
            </w:r>
          </w:p>
        </w:tc>
        <w:tc>
          <w:tcPr/>
          <w:p>
            <w:pPr>
              <w:pStyle w:val="Compact"/>
              <w:jc w:val="left"/>
            </w:pPr>
            <w:r>
              <w:t xml:space="preserve">Ensuring patient/participant safety and clinical relevance within the Tehran hospital setting.</w:t>
            </w:r>
          </w:p>
        </w:tc>
      </w:tr>
      <w:tr>
        <w:tc>
          <w:tcPr/>
          <w:p>
            <w:pPr>
              <w:pStyle w:val="Compact"/>
              <w:jc w:val="left"/>
            </w:pPr>
            <w:r>
              <w:t xml:space="preserve">Safety Officer</w:t>
            </w:r>
          </w:p>
        </w:tc>
        <w:tc>
          <w:tcPr/>
          <w:p>
            <w:pPr>
              <w:pStyle w:val="Compact"/>
              <w:jc w:val="left"/>
            </w:pPr>
            <w:r>
              <w:t xml:space="preserve">Monitoring compliance with laboratory safety standards specific to Iranian facilities.</w:t>
            </w:r>
          </w:p>
        </w:tc>
      </w:tr>
    </w:tbl>
    <w:p>
      <w:pPr>
        <w:pStyle w:val="BodyText"/>
      </w:pPr>
      <w:r>
        <w:t xml:space="preserve">4. Experimental Setup and Environment</w:t>
      </w:r>
    </w:p>
    <w:p>
      <w:pPr>
        <w:pStyle w:val="BodyText"/>
      </w:pPr>
      <w:r>
        <w:t xml:space="preserve">The experiment will be conducted in a controlled environment within a certified laboratory or clinical facility in Tehran. The Biomedical Engineer must ensure the following environmental controls are met:</w:t>
      </w:r>
    </w:p>
    <w:p>
      <w:pPr>
        <w:numPr>
          <w:ilvl w:val="0"/>
          <w:numId w:val="1002"/>
        </w:numPr>
        <w:pStyle w:val="Compact"/>
      </w:pPr>
      <w:r>
        <w:rPr>
          <w:bCs/>
          <w:b/>
        </w:rPr>
        <w:t xml:space="preserve">Electromagnetic Compatibility (EMC):</w:t>
      </w:r>
      <w:r>
        <w:t xml:space="preserve"> </w:t>
      </w:r>
      <w:r>
        <w:t xml:space="preserve">Given the density of electronic infrastructure in Tehran, the experimental area must be shielded against external electromagnetic interference to ensure signal fidelity, particularly for electrophysiological measurements.</w:t>
      </w:r>
    </w:p>
    <w:p>
      <w:pPr>
        <w:numPr>
          <w:ilvl w:val="0"/>
          <w:numId w:val="1002"/>
        </w:numPr>
        <w:pStyle w:val="Compact"/>
      </w:pPr>
      <w:r>
        <w:rPr>
          <w:bCs/>
          <w:b/>
        </w:rPr>
        <w:t xml:space="preserve">Power Stability:</w:t>
      </w:r>
      <w:r>
        <w:t xml:space="preserve"> </w:t>
      </w:r>
      <w:r>
        <w:t xml:space="preserve">Due to potential fluctuations in the local power grid, all sensitive biomedical equipment must be connected to a certified Uninterruptible Power Supply (UPS) and voltage stabilizers.</w:t>
      </w:r>
    </w:p>
    <w:p>
      <w:pPr>
        <w:numPr>
          <w:ilvl w:val="0"/>
          <w:numId w:val="1002"/>
        </w:numPr>
        <w:pStyle w:val="Compact"/>
      </w:pPr>
      <w:r>
        <w:rPr>
          <w:bCs/>
          <w:b/>
        </w:rPr>
        <w:t xml:space="preserve">Temperature and Humidity:</w:t>
      </w:r>
      <w:r>
        <w:t xml:space="preserve"> </w:t>
      </w:r>
      <w:r>
        <w:t xml:space="preserve">The laboratory must maintain a temperature between 20°C and 24°C and relative humidity between 40% and 60% to prevent equipment malfunction and ensure sample stability.</w:t>
      </w:r>
    </w:p>
    <w:p>
      <w:pPr>
        <w:pStyle w:val="FirstParagraph"/>
      </w:pPr>
      <w:r>
        <w:t xml:space="preserve">5. Methodology and Procedure</w:t>
      </w:r>
    </w:p>
    <w:p>
      <w:pPr>
        <w:pStyle w:val="BodyText"/>
      </w:pPr>
      <w:r>
        <w:t xml:space="preserve">The Biomedical Engineer shall execute the experiment according to the following steps:</w:t>
      </w:r>
    </w:p>
    <w:p>
      <w:pPr>
        <w:numPr>
          <w:ilvl w:val="0"/>
          <w:numId w:val="1003"/>
        </w:numPr>
        <w:pStyle w:val="Compact"/>
      </w:pPr>
      <w:r>
        <w:rPr>
          <w:bCs/>
          <w:b/>
        </w:rPr>
        <w:t xml:space="preserve">Pre-Experiment Calibration:</w:t>
      </w:r>
      <w:r>
        <w:t xml:space="preserve"> </w:t>
      </w:r>
      <w:r>
        <w:t xml:space="preserve">All sensors, actuators, and data acquisition systems must be calibrated using traceable standards. Calibration logs must be recorded.</w:t>
      </w:r>
    </w:p>
    <w:p>
      <w:pPr>
        <w:numPr>
          <w:ilvl w:val="0"/>
          <w:numId w:val="1003"/>
        </w:numPr>
        <w:pStyle w:val="Compact"/>
      </w:pPr>
      <w:r>
        <w:rPr>
          <w:bCs/>
          <w:b/>
        </w:rPr>
        <w:t xml:space="preserve">Participant Preparation:</w:t>
      </w:r>
      <w:r>
        <w:t xml:space="preserve"> </w:t>
      </w:r>
      <w:r>
        <w:t xml:space="preserve">Verify participant identity and consent. Ensure the participant is in a stable physiological state suitable for the experiment.</w:t>
      </w:r>
    </w:p>
    <w:p>
      <w:pPr>
        <w:numPr>
          <w:ilvl w:val="0"/>
          <w:numId w:val="1003"/>
        </w:numPr>
        <w:pStyle w:val="Compact"/>
      </w:pPr>
      <w:r>
        <w:rPr>
          <w:bCs/>
          <w:b/>
        </w:rPr>
        <w:t xml:space="preserve">Device Application:</w:t>
      </w:r>
      <w:r>
        <w:t xml:space="preserve"> </w:t>
      </w:r>
      <w:r>
        <w:t xml:space="preserve">Apply the biomedical device or sensor array according to the manufacturer's instructions or the specific engineering design protocol. Ensure sterile techniques are used if invasive procedures are involved.</w:t>
      </w:r>
    </w:p>
    <w:p>
      <w:pPr>
        <w:numPr>
          <w:ilvl w:val="0"/>
          <w:numId w:val="1003"/>
        </w:numPr>
        <w:pStyle w:val="Compact"/>
      </w:pPr>
      <w:r>
        <w:rPr>
          <w:bCs/>
          <w:b/>
        </w:rPr>
        <w:t xml:space="preserve">Data Acquisition:</w:t>
      </w:r>
      <w:r>
        <w:t xml:space="preserve"> </w:t>
      </w:r>
      <w:r>
        <w:t xml:space="preserve">Initiate data recording. The Biomedical Engineer must monitor the system in real-time to detect artifacts or anomalies. Data sampling rates must be sufficient to capture the relevant physiological phenomena.</w:t>
      </w:r>
    </w:p>
    <w:p>
      <w:pPr>
        <w:numPr>
          <w:ilvl w:val="0"/>
          <w:numId w:val="1003"/>
        </w:numPr>
        <w:pStyle w:val="Compact"/>
      </w:pPr>
      <w:r>
        <w:rPr>
          <w:bCs/>
          <w:b/>
        </w:rPr>
        <w:t xml:space="preserve">Termination:</w:t>
      </w:r>
      <w:r>
        <w:t xml:space="preserve"> </w:t>
      </w:r>
      <w:r>
        <w:t xml:space="preserve">Conclude the experiment based on pre-defined criteria. Safely remove all devices and ensure the participant's well-being.</w:t>
      </w:r>
    </w:p>
    <w:p>
      <w:pPr>
        <w:pStyle w:val="FirstParagraph"/>
      </w:pPr>
      <w:r>
        <w:t xml:space="preserve">6. Data Management and Privacy</w:t>
      </w:r>
    </w:p>
    <w:p>
      <w:pPr>
        <w:pStyle w:val="BodyText"/>
      </w:pPr>
      <w:r>
        <w:t xml:space="preserve">Data generated in Tehran must be handled with strict confidentiality.</w:t>
      </w:r>
    </w:p>
    <w:p>
      <w:pPr>
        <w:numPr>
          <w:ilvl w:val="0"/>
          <w:numId w:val="1004"/>
        </w:numPr>
        <w:pStyle w:val="Compact"/>
      </w:pPr>
      <w:r>
        <w:rPr>
          <w:bCs/>
          <w:b/>
        </w:rPr>
        <w:t xml:space="preserve">Anonymization:</w:t>
      </w:r>
      <w:r>
        <w:t xml:space="preserve"> </w:t>
      </w:r>
      <w:r>
        <w:t xml:space="preserve">All personal health information (PHI) must be anonymized immediately upon collection. Participants will be assigned unique identification codes.</w:t>
      </w:r>
    </w:p>
    <w:p>
      <w:pPr>
        <w:numPr>
          <w:ilvl w:val="0"/>
          <w:numId w:val="1004"/>
        </w:numPr>
        <w:pStyle w:val="Compact"/>
      </w:pPr>
      <w:r>
        <w:rPr>
          <w:bCs/>
          <w:b/>
        </w:rPr>
        <w:t xml:space="preserve">Storage:</w:t>
      </w:r>
      <w:r>
        <w:t xml:space="preserve"> </w:t>
      </w:r>
      <w:r>
        <w:t xml:space="preserve">Data must be stored on secure, encrypted servers located within Iran, in compliance with local data sovereignty laws, unless specific export permits are obtained.</w:t>
      </w:r>
    </w:p>
    <w:p>
      <w:pPr>
        <w:numPr>
          <w:ilvl w:val="0"/>
          <w:numId w:val="1004"/>
        </w:numPr>
        <w:pStyle w:val="Compact"/>
      </w:pPr>
      <w:r>
        <w:rPr>
          <w:bCs/>
          <w:b/>
        </w:rPr>
        <w:t xml:space="preserve">Backup:</w:t>
      </w:r>
      <w:r>
        <w:t xml:space="preserve"> </w:t>
      </w:r>
      <w:r>
        <w:t xml:space="preserve">Regular backups must be performed to prevent data loss.</w:t>
      </w:r>
    </w:p>
    <w:p>
      <w:pPr>
        <w:pStyle w:val="FirstParagraph"/>
      </w:pPr>
      <w:r>
        <w:t xml:space="preserve">7. Risk Management and Safety</w:t>
      </w:r>
    </w:p>
    <w:p>
      <w:pPr>
        <w:pStyle w:val="BodyText"/>
      </w:pPr>
      <w:r>
        <w:t xml:space="preserve">The Biomedical Engineer must conduct a risk assessment prior to the experiment. Potential risks include electrical hazards, biological contamination, and software failures.</w:t>
      </w:r>
    </w:p>
    <w:p>
      <w:pPr>
        <w:numPr>
          <w:ilvl w:val="0"/>
          <w:numId w:val="1005"/>
        </w:numPr>
        <w:pStyle w:val="Compact"/>
      </w:pPr>
      <w:r>
        <w:rPr>
          <w:bCs/>
          <w:b/>
        </w:rPr>
        <w:t xml:space="preserve">Electrical Safety:</w:t>
      </w:r>
      <w:r>
        <w:t xml:space="preserve"> </w:t>
      </w:r>
      <w:r>
        <w:t xml:space="preserve">All equipment must be grounded and inspected for insulation integrity. Leakage current must be within IEC 60601-1 limits.</w:t>
      </w:r>
    </w:p>
    <w:p>
      <w:pPr>
        <w:numPr>
          <w:ilvl w:val="0"/>
          <w:numId w:val="1005"/>
        </w:numPr>
        <w:pStyle w:val="Compact"/>
      </w:pPr>
      <w:r>
        <w:rPr>
          <w:bCs/>
          <w:b/>
        </w:rPr>
        <w:t xml:space="preserve">Emergency Procedures:</w:t>
      </w:r>
      <w:r>
        <w:t xml:space="preserve"> </w:t>
      </w:r>
      <w:r>
        <w:t xml:space="preserve">The laboratory must have access to emergency medical supplies and a clear evacuation route. The Biomedical Engineer must be trained in basic life support (BLS).</w:t>
      </w:r>
    </w:p>
    <w:p>
      <w:pPr>
        <w:numPr>
          <w:ilvl w:val="0"/>
          <w:numId w:val="1005"/>
        </w:numPr>
        <w:pStyle w:val="Compact"/>
      </w:pPr>
      <w:r>
        <w:rPr>
          <w:bCs/>
          <w:b/>
        </w:rPr>
        <w:t xml:space="preserve">Incident Reporting:</w:t>
      </w:r>
      <w:r>
        <w:t xml:space="preserve"> </w:t>
      </w:r>
      <w:r>
        <w:t xml:space="preserve">Any adverse events or equipment failures must be reported immediately to the Ethics Committee and the institution's safety office in Tehran.</w:t>
      </w:r>
    </w:p>
    <w:p>
      <w:pPr>
        <w:pStyle w:val="FirstParagraph"/>
      </w:pPr>
      <w:r>
        <w:t xml:space="preserve">8. Conclusion and Reporting</w:t>
      </w:r>
    </w:p>
    <w:p>
      <w:pPr>
        <w:pStyle w:val="BodyText"/>
      </w:pPr>
      <w:r>
        <w:t xml:space="preserve">Upon completion of the experiment, the Biomedical Engineer will compile a comprehensive report detailing the methodology, results, and any deviations from the protocol. This report will be submitted to the supervising institution in Tehran for review. The findings will contribute to the advancement of biomedical engineering practices within Iran and the broader scientific community.</w:t>
      </w:r>
    </w:p>
    <w:p>
      <w:pPr>
        <w:pStyle w:val="BodyText"/>
      </w:pPr>
      <w:r>
        <w:rPr>
          <w:bCs/>
          <w:b/>
        </w:rPr>
        <w:t xml:space="preserve">Lead Biomedical Engineer Signature:</w:t>
      </w:r>
    </w:p>
    <w:p>
      <w:pPr>
        <w:pStyle w:val="BodyText"/>
      </w:pPr>
      <w:r>
        <w:t xml:space="preserve">Date: ____________________</w:t>
      </w:r>
    </w:p>
    <w:p>
      <w:pPr>
        <w:pStyle w:val="BodyText"/>
      </w:pPr>
      <w:r>
        <w:rPr>
          <w:bCs/>
          <w:b/>
        </w:rPr>
        <w:t xml:space="preserve">Ethics Committee Approval:</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Tehran, Iran</dc:title>
  <dc:creator/>
  <dc:language>en</dc:language>
  <cp:keywords/>
  <dcterms:created xsi:type="dcterms:W3CDTF">2026-10-10T02:12:44Z</dcterms:created>
  <dcterms:modified xsi:type="dcterms:W3CDTF">2026-10-10T02:12:44Z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