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w:t>
      </w:r>
      <w:r>
        <w:t xml:space="preserve"> </w:t>
      </w:r>
      <w:r>
        <w:t xml:space="preserve">-</w:t>
      </w:r>
      <w:r>
        <w:t xml:space="preserve"> </w:t>
      </w:r>
      <w:r>
        <w:t xml:space="preserve">Iraq</w:t>
      </w:r>
      <w:r>
        <w:t xml:space="preserve"> </w:t>
      </w:r>
      <w:r>
        <w:t xml:space="preserve">Baghdad</w:t>
      </w:r>
    </w:p>
    <w:bookmarkStart w:id="37" w:name="X82b664e1415adf0f190de4422f3acb4f7941cfa"/>
    <w:p>
      <w:pPr>
        <w:pStyle w:val="Heading1"/>
      </w:pPr>
      <w:r>
        <w:t xml:space="preserve">Experiment Protocol: Biomedical Engineer - Iraq Baghdad</w:t>
      </w:r>
    </w:p>
    <w:p>
      <w:pPr>
        <w:pStyle w:val="FirstParagraph"/>
      </w:pPr>
      <w:r>
        <w:rPr>
          <w:bCs/>
          <w:b/>
        </w:rPr>
        <w:t xml:space="preserve">Protocol ID:</w:t>
      </w:r>
      <w:r>
        <w:t xml:space="preserve"> </w:t>
      </w:r>
      <w:r>
        <w:t xml:space="preserve">BE-IRAQ-BAG-2024-001</w:t>
      </w:r>
    </w:p>
    <w:p>
      <w:pPr>
        <w:pStyle w:val="BodyText"/>
      </w:pPr>
      <w:r>
        <w:rPr>
          <w:bCs/>
          <w:b/>
        </w:rPr>
        <w:t xml:space="preserve">Location:</w:t>
      </w:r>
      <w:r>
        <w:t xml:space="preserve"> </w:t>
      </w:r>
      <w:r>
        <w:t xml:space="preserve">Baghdad, Iraq (Al-Kadhimiya District, University Hospital Complex)</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a Biomedical Engineer conducting clinical validation tests on a new portable electrocardiogram (ECG) monitoring device in Baghdad, Iraq. The primary objective is to evaluate the device's performance under local environmental conditions, including high ambient temperatures, variable power supply stability, and diverse patient demographics common in Iraqi healthcare facilities.</w:t>
      </w:r>
    </w:p>
    <w:p>
      <w:pPr>
        <w:pStyle w:val="BodyText"/>
      </w:pPr>
      <w:r>
        <w:t xml:space="preserve">The Biomedical Engineer is responsible for ensuring that the device meets international safety standards (IEC 60601-1) while adapting to the specific infrastructure challenges present in Baghdad hospitals. This protocol ensures patient safety, data integrity, and compliance with Iraqi Ministry of Health regulations.</w:t>
      </w:r>
    </w:p>
    <w:bookmarkEnd w:id="20"/>
    <w:bookmarkStart w:id="21" w:name="scope-and-applicability"/>
    <w:p>
      <w:pPr>
        <w:pStyle w:val="Heading2"/>
      </w:pPr>
      <w:r>
        <w:t xml:space="preserve">2. Scope and Applicability</w:t>
      </w:r>
    </w:p>
    <w:p>
      <w:pPr>
        <w:pStyle w:val="FirstParagraph"/>
      </w:pPr>
      <w:r>
        <w:t xml:space="preserve">This protocol applies to all Biomedical Engineers, clinical staff, and researchers involved in the testing phase at the designated hospital in Baghdad. It covers:</w:t>
      </w:r>
    </w:p>
    <w:p>
      <w:pPr>
        <w:numPr>
          <w:ilvl w:val="0"/>
          <w:numId w:val="1001"/>
        </w:numPr>
        <w:pStyle w:val="Compact"/>
      </w:pPr>
      <w:r>
        <w:t xml:space="preserve">Device setup and calibration</w:t>
      </w:r>
    </w:p>
    <w:p>
      <w:pPr>
        <w:numPr>
          <w:ilvl w:val="0"/>
          <w:numId w:val="1001"/>
        </w:numPr>
        <w:pStyle w:val="Compact"/>
      </w:pPr>
      <w:r>
        <w:t xml:space="preserve">Patient recruitment and informed consent</w:t>
      </w:r>
    </w:p>
    <w:p>
      <w:pPr>
        <w:numPr>
          <w:ilvl w:val="0"/>
          <w:numId w:val="1001"/>
        </w:numPr>
        <w:pStyle w:val="Compact"/>
      </w:pPr>
      <w:r>
        <w:t xml:space="preserve">Data collection and analysis</w:t>
      </w:r>
    </w:p>
    <w:p>
      <w:pPr>
        <w:numPr>
          <w:ilvl w:val="0"/>
          <w:numId w:val="1001"/>
        </w:numPr>
        <w:pStyle w:val="Compact"/>
      </w:pPr>
      <w:r>
        <w:t xml:space="preserve">Environmental monitoring</w:t>
      </w:r>
    </w:p>
    <w:p>
      <w:pPr>
        <w:numPr>
          <w:ilvl w:val="0"/>
          <w:numId w:val="1001"/>
        </w:numPr>
        <w:pStyle w:val="Compact"/>
      </w:pPr>
      <w:r>
        <w:t xml:space="preserve">Emergency response procedures</w:t>
      </w:r>
    </w:p>
    <w:p>
      <w:pPr>
        <w:pStyle w:val="FirstParagraph"/>
      </w:pPr>
      <w:r>
        <w:t xml:space="preserve">The protocol is specifically designed to address the unique challenges of conducting biomedical experiments in Iraq Baghdad, including power fluctuations, dust exposure, and language considerations for patient communication.</w:t>
      </w:r>
    </w:p>
    <w:bookmarkEnd w:id="21"/>
    <w:bookmarkStart w:id="25" w:name="roles-and-responsibilities"/>
    <w:p>
      <w:pPr>
        <w:pStyle w:val="Heading2"/>
      </w:pPr>
      <w:r>
        <w:t xml:space="preserve">3. Roles and Responsibilities</w:t>
      </w:r>
    </w:p>
    <w:bookmarkStart w:id="22" w:name="biomedical-engineer"/>
    <w:p>
      <w:pPr>
        <w:pStyle w:val="Heading3"/>
      </w:pPr>
      <w:r>
        <w:t xml:space="preserve">3.1 Biomedical Engineer</w:t>
      </w:r>
    </w:p>
    <w:p>
      <w:pPr>
        <w:pStyle w:val="FirstParagraph"/>
      </w:pPr>
      <w:r>
        <w:t xml:space="preserve">The Biomedical Engineer is the lead technical authority for this experiment. Responsibilities include:</w:t>
      </w:r>
    </w:p>
    <w:p>
      <w:pPr>
        <w:numPr>
          <w:ilvl w:val="0"/>
          <w:numId w:val="1002"/>
        </w:numPr>
        <w:pStyle w:val="Compact"/>
      </w:pPr>
      <w:r>
        <w:t xml:space="preserve">Ensuring all equipment is properly calibrated and maintained</w:t>
      </w:r>
    </w:p>
    <w:p>
      <w:pPr>
        <w:numPr>
          <w:ilvl w:val="0"/>
          <w:numId w:val="1002"/>
        </w:numPr>
        <w:pStyle w:val="Compact"/>
      </w:pPr>
      <w:r>
        <w:t xml:space="preserve">Monitoring device performance throughout the experiment</w:t>
      </w:r>
    </w:p>
    <w:p>
      <w:pPr>
        <w:numPr>
          <w:ilvl w:val="0"/>
          <w:numId w:val="1002"/>
        </w:numPr>
        <w:pStyle w:val="Compact"/>
      </w:pPr>
      <w:r>
        <w:t xml:space="preserve">Implementing safety protocols to protect patients and staff</w:t>
      </w:r>
    </w:p>
    <w:p>
      <w:pPr>
        <w:numPr>
          <w:ilvl w:val="0"/>
          <w:numId w:val="1002"/>
        </w:numPr>
        <w:pStyle w:val="Compact"/>
      </w:pPr>
      <w:r>
        <w:t xml:space="preserve">Documenting all technical issues and resolutions</w:t>
      </w:r>
    </w:p>
    <w:p>
      <w:pPr>
        <w:numPr>
          <w:ilvl w:val="0"/>
          <w:numId w:val="1002"/>
        </w:numPr>
        <w:pStyle w:val="Compact"/>
      </w:pPr>
      <w:r>
        <w:t xml:space="preserve">Coordinating with local hospital staff in Baghdad</w:t>
      </w:r>
    </w:p>
    <w:bookmarkEnd w:id="22"/>
    <w:bookmarkStart w:id="23" w:name="clinical-staff"/>
    <w:p>
      <w:pPr>
        <w:pStyle w:val="Heading3"/>
      </w:pPr>
      <w:r>
        <w:t xml:space="preserve">3.2 Clinical Staff</w:t>
      </w:r>
    </w:p>
    <w:p>
      <w:pPr>
        <w:pStyle w:val="FirstParagraph"/>
      </w:pPr>
      <w:r>
        <w:t xml:space="preserve">Clinical staff are responsible for patient care, obtaining informed consent, and reporting any adverse events immediately to the Biomedical Engineer.</w:t>
      </w:r>
    </w:p>
    <w:bookmarkEnd w:id="23"/>
    <w:bookmarkStart w:id="24" w:name="data-analyst"/>
    <w:p>
      <w:pPr>
        <w:pStyle w:val="Heading3"/>
      </w:pPr>
      <w:r>
        <w:t xml:space="preserve">3.3 Data Analyst</w:t>
      </w:r>
    </w:p>
    <w:p>
      <w:pPr>
        <w:pStyle w:val="FirstParagraph"/>
      </w:pPr>
      <w:r>
        <w:t xml:space="preserve">The Data Analyst will process and interpret the collected ECG data, ensuring accuracy and compliance with research standards.</w:t>
      </w:r>
    </w:p>
    <w:bookmarkEnd w:id="24"/>
    <w:bookmarkEnd w:id="25"/>
    <w:bookmarkStart w:id="26"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Portable ECG Device</w:t>
            </w:r>
          </w:p>
        </w:tc>
        <w:tc>
          <w:tcPr/>
          <w:p>
            <w:pPr>
              <w:pStyle w:val="Compact"/>
              <w:jc w:val="left"/>
            </w:pPr>
            <w:r>
              <w:t xml:space="preserve">5 units</w:t>
            </w:r>
          </w:p>
        </w:tc>
        <w:tc>
          <w:tcPr/>
          <w:p>
            <w:pPr>
              <w:pStyle w:val="Compact"/>
              <w:jc w:val="left"/>
            </w:pPr>
            <w:r>
              <w:t xml:space="preserve">12-lead, battery-operated, dust-resistant</w:t>
            </w:r>
          </w:p>
        </w:tc>
      </w:tr>
      <w:tr>
        <w:tc>
          <w:tcPr/>
          <w:p>
            <w:pPr>
              <w:pStyle w:val="Compact"/>
              <w:jc w:val="left"/>
            </w:pPr>
            <w:r>
              <w:t xml:space="preserve">Reference ECG Machine</w:t>
            </w:r>
          </w:p>
        </w:tc>
        <w:tc>
          <w:tcPr/>
          <w:p>
            <w:pPr>
              <w:pStyle w:val="Compact"/>
              <w:jc w:val="left"/>
            </w:pPr>
            <w:r>
              <w:t xml:space="preserve">2 units</w:t>
            </w:r>
          </w:p>
        </w:tc>
        <w:tc>
          <w:tcPr/>
          <w:p>
            <w:pPr>
              <w:pStyle w:val="Compact"/>
              <w:jc w:val="left"/>
            </w:pPr>
            <w:r>
              <w:t xml:space="preserve">Hospital-grade, calibrated</w:t>
            </w:r>
          </w:p>
        </w:tc>
      </w:tr>
      <w:tr>
        <w:tc>
          <w:tcPr/>
          <w:p>
            <w:pPr>
              <w:pStyle w:val="Compact"/>
              <w:jc w:val="left"/>
            </w:pPr>
            <w:r>
              <w:t xml:space="preserve">Power Stabilizers</w:t>
            </w:r>
          </w:p>
        </w:tc>
        <w:tc>
          <w:tcPr/>
          <w:p>
            <w:pPr>
              <w:pStyle w:val="Compact"/>
              <w:jc w:val="left"/>
            </w:pPr>
            <w:r>
              <w:t xml:space="preserve">5 units</w:t>
            </w:r>
          </w:p>
        </w:tc>
        <w:tc>
          <w:tcPr/>
          <w:p>
            <w:pPr>
              <w:pStyle w:val="Compact"/>
              <w:jc w:val="left"/>
            </w:pPr>
            <w:r>
              <w:t xml:space="preserve">220V, surge protection</w:t>
            </w:r>
          </w:p>
        </w:tc>
      </w:tr>
      <w:tr>
        <w:tc>
          <w:tcPr/>
          <w:p>
            <w:pPr>
              <w:pStyle w:val="Compact"/>
              <w:jc w:val="left"/>
            </w:pPr>
            <w:r>
              <w:t xml:space="preserve">ECG Electrodes</w:t>
            </w:r>
          </w:p>
        </w:tc>
        <w:tc>
          <w:tcPr/>
          <w:p>
            <w:pPr>
              <w:pStyle w:val="Compact"/>
              <w:jc w:val="left"/>
            </w:pPr>
            <w:r>
              <w:t xml:space="preserve">500 sets</w:t>
            </w:r>
          </w:p>
        </w:tc>
        <w:tc>
          <w:tcPr/>
          <w:p>
            <w:pPr>
              <w:pStyle w:val="Compact"/>
              <w:jc w:val="left"/>
            </w:pPr>
            <w:r>
              <w:t xml:space="preserve">Hypoallergenic, single-use</w:t>
            </w:r>
          </w:p>
        </w:tc>
      </w:tr>
      <w:tr>
        <w:tc>
          <w:tcPr/>
          <w:p>
            <w:pPr>
              <w:pStyle w:val="Compact"/>
              <w:jc w:val="left"/>
            </w:pPr>
            <w:r>
              <w:t xml:space="preserve">Environmental Monitor</w:t>
            </w:r>
          </w:p>
        </w:tc>
        <w:tc>
          <w:tcPr/>
          <w:p>
            <w:pPr>
              <w:pStyle w:val="Compact"/>
              <w:jc w:val="left"/>
            </w:pPr>
            <w:r>
              <w:t xml:space="preserve">1 unit</w:t>
            </w:r>
          </w:p>
        </w:tc>
        <w:tc>
          <w:tcPr/>
          <w:p>
            <w:pPr>
              <w:pStyle w:val="Compact"/>
              <w:jc w:val="left"/>
            </w:pPr>
            <w:r>
              <w:t xml:space="preserve">Temperature, humidity, dust levels</w:t>
            </w:r>
          </w:p>
        </w:tc>
      </w:tr>
    </w:tbl>
    <w:bookmarkEnd w:id="26"/>
    <w:bookmarkStart w:id="31" w:name="experimental-procedure"/>
    <w:p>
      <w:pPr>
        <w:pStyle w:val="Heading2"/>
      </w:pPr>
      <w:r>
        <w:t xml:space="preserve">5. Experimental Procedure</w:t>
      </w:r>
    </w:p>
    <w:bookmarkStart w:id="27" w:name="pre-experiment-setup"/>
    <w:p>
      <w:pPr>
        <w:pStyle w:val="Heading3"/>
      </w:pPr>
      <w:r>
        <w:t xml:space="preserve">5.1 Pre-Experiment Setup</w:t>
      </w:r>
    </w:p>
    <w:p>
      <w:pPr>
        <w:numPr>
          <w:ilvl w:val="0"/>
          <w:numId w:val="1003"/>
        </w:numPr>
        <w:pStyle w:val="Compact"/>
      </w:pPr>
      <w:r>
        <w:t xml:space="preserve">Inspect all equipment for damage and ensure proper calibration.</w:t>
      </w:r>
    </w:p>
    <w:p>
      <w:pPr>
        <w:numPr>
          <w:ilvl w:val="0"/>
          <w:numId w:val="1003"/>
        </w:numPr>
        <w:pStyle w:val="Compact"/>
      </w:pPr>
      <w:r>
        <w:t xml:space="preserve">Set up power stabilizers to protect devices from voltage fluctuations common in Baghdad.</w:t>
      </w:r>
    </w:p>
    <w:p>
      <w:pPr>
        <w:numPr>
          <w:ilvl w:val="0"/>
          <w:numId w:val="1003"/>
        </w:numPr>
        <w:pStyle w:val="Compact"/>
      </w:pPr>
      <w:r>
        <w:t xml:space="preserve">Verify that the testing area is clean, well-ventilated, and meets safety standards.</w:t>
      </w:r>
    </w:p>
    <w:p>
      <w:pPr>
        <w:numPr>
          <w:ilvl w:val="0"/>
          <w:numId w:val="1003"/>
        </w:numPr>
        <w:pStyle w:val="Compact"/>
      </w:pPr>
      <w:r>
        <w:t xml:space="preserve">Conduct a brief training session for clinical staff on device operation and emergency procedures.</w:t>
      </w:r>
    </w:p>
    <w:bookmarkEnd w:id="27"/>
    <w:bookmarkStart w:id="28" w:name="patient-recruitment-and-consent"/>
    <w:p>
      <w:pPr>
        <w:pStyle w:val="Heading3"/>
      </w:pPr>
      <w:r>
        <w:t xml:space="preserve">5.2 Patient Recruitment and Consent</w:t>
      </w:r>
    </w:p>
    <w:p>
      <w:pPr>
        <w:numPr>
          <w:ilvl w:val="0"/>
          <w:numId w:val="1004"/>
        </w:numPr>
        <w:pStyle w:val="Compact"/>
      </w:pPr>
      <w:r>
        <w:t xml:space="preserve">Recruit adult patients (18-65 years) with no known severe cardiac conditions.</w:t>
      </w:r>
    </w:p>
    <w:p>
      <w:pPr>
        <w:numPr>
          <w:ilvl w:val="0"/>
          <w:numId w:val="1004"/>
        </w:numPr>
        <w:pStyle w:val="Compact"/>
      </w:pPr>
      <w:r>
        <w:t xml:space="preserve">Obtain written informed consent in Arabic, ensuring patients understand the purpose and risks of the experiment.</w:t>
      </w:r>
    </w:p>
    <w:p>
      <w:pPr>
        <w:numPr>
          <w:ilvl w:val="0"/>
          <w:numId w:val="1004"/>
        </w:numPr>
        <w:pStyle w:val="Compact"/>
      </w:pPr>
      <w:r>
        <w:t xml:space="preserve">Record patient demographics and medical history.</w:t>
      </w:r>
    </w:p>
    <w:bookmarkEnd w:id="28"/>
    <w:bookmarkStart w:id="29" w:name="data-collection"/>
    <w:p>
      <w:pPr>
        <w:pStyle w:val="Heading3"/>
      </w:pPr>
      <w:r>
        <w:t xml:space="preserve">5.3 Data Collection</w:t>
      </w:r>
    </w:p>
    <w:p>
      <w:pPr>
        <w:numPr>
          <w:ilvl w:val="0"/>
          <w:numId w:val="1005"/>
        </w:numPr>
        <w:pStyle w:val="Compact"/>
      </w:pPr>
      <w:r>
        <w:t xml:space="preserve">Attach ECG electrodes to the patient according to standard 12-lead placement.</w:t>
      </w:r>
    </w:p>
    <w:p>
      <w:pPr>
        <w:numPr>
          <w:ilvl w:val="0"/>
          <w:numId w:val="1005"/>
        </w:numPr>
        <w:pStyle w:val="Compact"/>
      </w:pPr>
      <w:r>
        <w:t xml:space="preserve">Record ECG data simultaneously using the portable device and the reference machine.</w:t>
      </w:r>
    </w:p>
    <w:p>
      <w:pPr>
        <w:numPr>
          <w:ilvl w:val="0"/>
          <w:numId w:val="1005"/>
        </w:numPr>
        <w:pStyle w:val="Compact"/>
      </w:pPr>
      <w:r>
        <w:t xml:space="preserve">Monitor environmental conditions (temperature, humidity) during each recording.</w:t>
      </w:r>
    </w:p>
    <w:p>
      <w:pPr>
        <w:numPr>
          <w:ilvl w:val="0"/>
          <w:numId w:val="1005"/>
        </w:numPr>
        <w:pStyle w:val="Compact"/>
      </w:pPr>
      <w:r>
        <w:t xml:space="preserve">Repeat the process for a minimum of 50 patients over a two-week period.</w:t>
      </w:r>
    </w:p>
    <w:bookmarkEnd w:id="29"/>
    <w:bookmarkStart w:id="30" w:name="post-experiment-procedures"/>
    <w:p>
      <w:pPr>
        <w:pStyle w:val="Heading3"/>
      </w:pPr>
      <w:r>
        <w:t xml:space="preserve">5.4 Post-Experiment Procedures</w:t>
      </w:r>
    </w:p>
    <w:p>
      <w:pPr>
        <w:numPr>
          <w:ilvl w:val="0"/>
          <w:numId w:val="1006"/>
        </w:numPr>
        <w:pStyle w:val="Compact"/>
      </w:pPr>
      <w:r>
        <w:t xml:space="preserve">Remove electrodes and ensure patient comfort.</w:t>
      </w:r>
    </w:p>
    <w:p>
      <w:pPr>
        <w:numPr>
          <w:ilvl w:val="0"/>
          <w:numId w:val="1006"/>
        </w:numPr>
        <w:pStyle w:val="Compact"/>
      </w:pPr>
      <w:r>
        <w:t xml:space="preserve">Store all data securely on encrypted drives.</w:t>
      </w:r>
    </w:p>
    <w:p>
      <w:pPr>
        <w:numPr>
          <w:ilvl w:val="0"/>
          <w:numId w:val="1006"/>
        </w:numPr>
        <w:pStyle w:val="Compact"/>
      </w:pPr>
      <w:r>
        <w:t xml:space="preserve">Inspect and clean all equipment.</w:t>
      </w:r>
    </w:p>
    <w:p>
      <w:pPr>
        <w:numPr>
          <w:ilvl w:val="0"/>
          <w:numId w:val="1006"/>
        </w:numPr>
        <w:pStyle w:val="Compact"/>
      </w:pPr>
      <w:r>
        <w:t xml:space="preserve">Document any technical issues or adverse events.</w:t>
      </w:r>
    </w:p>
    <w:bookmarkEnd w:id="30"/>
    <w:bookmarkEnd w:id="31"/>
    <w:bookmarkStart w:id="32" w:name="safety-and-risk-management"/>
    <w:p>
      <w:pPr>
        <w:pStyle w:val="Heading2"/>
      </w:pPr>
      <w:r>
        <w:t xml:space="preserve">6. Safety and Risk Management</w:t>
      </w:r>
    </w:p>
    <w:p>
      <w:pPr>
        <w:pStyle w:val="FirstParagraph"/>
      </w:pPr>
      <w:r>
        <w:t xml:space="preserve">The Biomedical Engineer must prioritize patient and staff safety throughout the experiment. Key safety measures include:</w:t>
      </w:r>
    </w:p>
    <w:p>
      <w:pPr>
        <w:numPr>
          <w:ilvl w:val="0"/>
          <w:numId w:val="1007"/>
        </w:numPr>
        <w:pStyle w:val="Compact"/>
      </w:pPr>
      <w:r>
        <w:t xml:space="preserve">Electrical Safety:</w:t>
      </w:r>
      <w:r>
        <w:t xml:space="preserve"> </w:t>
      </w:r>
      <w:r>
        <w:t xml:space="preserve">Use power stabilizers and ground fault circuit interrupters (GFCIs) to protect against electrical hazards.</w:t>
      </w:r>
    </w:p>
    <w:p>
      <w:pPr>
        <w:numPr>
          <w:ilvl w:val="0"/>
          <w:numId w:val="1007"/>
        </w:numPr>
        <w:pStyle w:val="Compact"/>
      </w:pPr>
      <w:r>
        <w:t xml:space="preserve">Infection Control:</w:t>
      </w:r>
      <w:r>
        <w:t xml:space="preserve"> </w:t>
      </w:r>
      <w:r>
        <w:t xml:space="preserve">Use single-use electrodes and disinfect all surfaces between patients.</w:t>
      </w:r>
    </w:p>
    <w:p>
      <w:pPr>
        <w:numPr>
          <w:ilvl w:val="0"/>
          <w:numId w:val="1007"/>
        </w:numPr>
        <w:pStyle w:val="Compact"/>
      </w:pPr>
      <w:r>
        <w:t xml:space="preserve">Emergency Response:</w:t>
      </w:r>
      <w:r>
        <w:t xml:space="preserve"> </w:t>
      </w:r>
      <w:r>
        <w:t xml:space="preserve">Have a defibrillator and emergency medical team on standby at all times.</w:t>
      </w:r>
    </w:p>
    <w:p>
      <w:pPr>
        <w:numPr>
          <w:ilvl w:val="0"/>
          <w:numId w:val="1007"/>
        </w:numPr>
        <w:pStyle w:val="Compact"/>
      </w:pPr>
      <w:r>
        <w:t xml:space="preserve">Environmental Hazards:</w:t>
      </w:r>
      <w:r>
        <w:t xml:space="preserve"> </w:t>
      </w:r>
      <w:r>
        <w:t xml:space="preserve">Monitor dust levels and ensure devices are protected from particulate matter common in Baghdad.</w:t>
      </w:r>
    </w:p>
    <w:bookmarkEnd w:id="32"/>
    <w:bookmarkStart w:id="33" w:name="data-analysis-and-reporting"/>
    <w:p>
      <w:pPr>
        <w:pStyle w:val="Heading2"/>
      </w:pPr>
      <w:r>
        <w:t xml:space="preserve">7. Data Analysis and Reporting</w:t>
      </w:r>
    </w:p>
    <w:p>
      <w:pPr>
        <w:pStyle w:val="FirstParagraph"/>
      </w:pPr>
      <w:r>
        <w:t xml:space="preserve">The Biomedical Engineer will collaborate with the Data Analyst to:</w:t>
      </w:r>
    </w:p>
    <w:p>
      <w:pPr>
        <w:numPr>
          <w:ilvl w:val="0"/>
          <w:numId w:val="1008"/>
        </w:numPr>
        <w:pStyle w:val="Compact"/>
      </w:pPr>
      <w:r>
        <w:t xml:space="preserve">Compare ECG readings from the portable device with the reference machine.</w:t>
      </w:r>
    </w:p>
    <w:p>
      <w:pPr>
        <w:numPr>
          <w:ilvl w:val="0"/>
          <w:numId w:val="1008"/>
        </w:numPr>
        <w:pStyle w:val="Compact"/>
      </w:pPr>
      <w:r>
        <w:t xml:space="preserve">Assess device accuracy, sensitivity, and specificity.</w:t>
      </w:r>
    </w:p>
    <w:p>
      <w:pPr>
        <w:numPr>
          <w:ilvl w:val="0"/>
          <w:numId w:val="1008"/>
        </w:numPr>
        <w:pStyle w:val="Compact"/>
      </w:pPr>
      <w:r>
        <w:t xml:space="preserve">Evaluate the impact of environmental conditions on device performance.</w:t>
      </w:r>
    </w:p>
    <w:p>
      <w:pPr>
        <w:numPr>
          <w:ilvl w:val="0"/>
          <w:numId w:val="1008"/>
        </w:numPr>
        <w:pStyle w:val="Compact"/>
      </w:pPr>
      <w:r>
        <w:t xml:space="preserve">Prepare a comprehensive report for the Iraqi Ministry of Health and relevant stakeholders.</w:t>
      </w:r>
    </w:p>
    <w:bookmarkEnd w:id="33"/>
    <w:bookmarkStart w:id="34" w:name="ethical-considerations"/>
    <w:p>
      <w:pPr>
        <w:pStyle w:val="Heading2"/>
      </w:pPr>
      <w:r>
        <w:t xml:space="preserve">8. Ethical Considerations</w:t>
      </w:r>
    </w:p>
    <w:p>
      <w:pPr>
        <w:pStyle w:val="FirstParagraph"/>
      </w:pPr>
      <w:r>
        <w:t xml:space="preserve">This experiment adheres to the Declaration of Helsinki and local ethical guidelines. Key ethical considerations include:</w:t>
      </w:r>
    </w:p>
    <w:p>
      <w:pPr>
        <w:numPr>
          <w:ilvl w:val="0"/>
          <w:numId w:val="1009"/>
        </w:numPr>
        <w:pStyle w:val="Compact"/>
      </w:pPr>
      <w:r>
        <w:t xml:space="preserve">Respect for patient autonomy and informed consent.</w:t>
      </w:r>
    </w:p>
    <w:p>
      <w:pPr>
        <w:numPr>
          <w:ilvl w:val="0"/>
          <w:numId w:val="1009"/>
        </w:numPr>
        <w:pStyle w:val="Compact"/>
      </w:pPr>
      <w:r>
        <w:t xml:space="preserve">Confidentiality of patient data.</w:t>
      </w:r>
    </w:p>
    <w:p>
      <w:pPr>
        <w:numPr>
          <w:ilvl w:val="0"/>
          <w:numId w:val="1009"/>
        </w:numPr>
        <w:pStyle w:val="Compact"/>
      </w:pPr>
      <w:r>
        <w:t xml:space="preserve">Minimization of risks and discomfort.</w:t>
      </w:r>
    </w:p>
    <w:p>
      <w:pPr>
        <w:numPr>
          <w:ilvl w:val="0"/>
          <w:numId w:val="1009"/>
        </w:numPr>
        <w:pStyle w:val="Compact"/>
      </w:pPr>
      <w:r>
        <w:t xml:space="preserve">Equitable selection of participants from the Baghdad community.</w:t>
      </w:r>
    </w:p>
    <w:bookmarkEnd w:id="34"/>
    <w:bookmarkStart w:id="35" w:name="conclusion"/>
    <w:p>
      <w:pPr>
        <w:pStyle w:val="Heading2"/>
      </w:pPr>
      <w:r>
        <w:t xml:space="preserve">9. Conclusion</w:t>
      </w:r>
    </w:p>
    <w:p>
      <w:pPr>
        <w:pStyle w:val="FirstParagraph"/>
      </w:pPr>
      <w:r>
        <w:t xml:space="preserve">This Experiment Protocol provides a comprehensive framework for a Biomedical Engineer to conduct clinical validation tests in Iraq Baghdad. By addressing local challenges and adhering to international standards, this protocol ensures the safety, accuracy, and reliability of the experimental process. The findings will contribute to the development of robust biomedical devices suitable for use in Iraq and similar environments.</w:t>
      </w:r>
    </w:p>
    <w:bookmarkEnd w:id="35"/>
    <w:bookmarkStart w:id="36" w:name="signatures"/>
    <w:p>
      <w:pPr>
        <w:pStyle w:val="Heading2"/>
      </w:pPr>
      <w:r>
        <w:t xml:space="preserve">10. Signatures</w:t>
      </w:r>
    </w:p>
    <w:p>
      <w:pPr>
        <w:pStyle w:val="FirstParagraph"/>
      </w:pPr>
      <w:r>
        <w:rPr>
          <w:bCs/>
          <w:b/>
        </w:rPr>
        <w:t xml:space="preserve">Biomedical Engineer:</w:t>
      </w:r>
      <w:r>
        <w:t xml:space="preserve"> </w:t>
      </w:r>
      <w:r>
        <w:t xml:space="preserve">_________________________ Date: __________</w:t>
      </w:r>
    </w:p>
    <w:p>
      <w:pPr>
        <w:pStyle w:val="BodyText"/>
      </w:pPr>
      <w:r>
        <w:rPr>
          <w:bCs/>
          <w:b/>
        </w:rPr>
        <w:t xml:space="preserve">Clinical Supervisor:</w:t>
      </w:r>
      <w:r>
        <w:t xml:space="preserve"> </w:t>
      </w:r>
      <w:r>
        <w:t xml:space="preserve">_________________________ Date: __________</w:t>
      </w:r>
    </w:p>
    <w:p>
      <w:pPr>
        <w:pStyle w:val="BodyText"/>
      </w:pPr>
      <w:r>
        <w:rPr>
          <w:bCs/>
          <w:b/>
        </w:rPr>
        <w:t xml:space="preserve">Ethics Committee Representative:</w:t>
      </w:r>
      <w:r>
        <w:t xml:space="preserve"> </w:t>
      </w:r>
      <w:r>
        <w:t xml:space="preserve">_________________________ Date: __________</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 - Iraq Baghdad</dc:title>
  <dc:creator/>
  <dc:language>en</dc:language>
  <cp:keywords/>
  <dcterms:created xsi:type="dcterms:W3CDTF">2026-10-10T03:57:23Z</dcterms:created>
  <dcterms:modified xsi:type="dcterms:W3CDTF">2026-10-10T03:57:23Z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