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Israel</w:t>
      </w:r>
      <w:r>
        <w:t xml:space="preserve"> </w:t>
      </w:r>
      <w:r>
        <w:t xml:space="preserve">Jerusalem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Biomedical Devices for Clinical Applications in Israel Jerusalem</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[Institution Name], Israel Jerusalem</w:t>
      </w:r>
    </w:p>
    <w:p>
      <w:pPr>
        <w:pStyle w:val="BodyText"/>
      </w:pPr>
      <w:r>
        <w:rPr>
          <w:bCs/>
          <w:b/>
        </w:rPr>
        <w:t xml:space="preserve">Date:</w:t>
      </w:r>
      <w:r>
        <w:t xml:space="preserve"> </w:t>
      </w:r>
      <w:r>
        <w:t xml:space="preserve">[Date]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conducting a biomedical engineering study focused on the development and evaluation of innovative medical devices. The research will be carried out in Israel Jerusalem, a hub for advanced medical research and healthcare innovation. The primary objective is to assess the safety, efficacy, and usability of the proposed biomedical devices in a clinical setting, adhering to international standards and local regulations.</w:t>
      </w:r>
    </w:p>
    <w:p>
      <w:pPr>
        <w:pStyle w:val="BodyText"/>
      </w:pPr>
      <w:r>
        <w:t xml:space="preserve">The study aims to contribute to the growing body of knowledge in biomedical engineering, with a particular focus on addressing healthcare challenges specific to the population in Israel Jerusalem. By leveraging the expertise of local researchers and healthcare professionals, this protocol seeks to ensure that the devices meet the highest standards of quality and performance.</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technical performance of the biomedical devices under controlled conditions.</w:t>
      </w:r>
    </w:p>
    <w:p>
      <w:pPr>
        <w:numPr>
          <w:ilvl w:val="0"/>
          <w:numId w:val="1001"/>
        </w:numPr>
        <w:pStyle w:val="Compact"/>
      </w:pPr>
      <w:r>
        <w:t xml:space="preserve">To assess the safety and efficacy of the devices in a clinical environment.</w:t>
      </w:r>
    </w:p>
    <w:p>
      <w:pPr>
        <w:numPr>
          <w:ilvl w:val="0"/>
          <w:numId w:val="1001"/>
        </w:numPr>
        <w:pStyle w:val="Compact"/>
      </w:pPr>
      <w:r>
        <w:t xml:space="preserve">To gather feedback from healthcare professionals and patients regarding the usability and acceptability of the devices.</w:t>
      </w:r>
    </w:p>
    <w:p>
      <w:pPr>
        <w:numPr>
          <w:ilvl w:val="0"/>
          <w:numId w:val="1001"/>
        </w:numPr>
        <w:pStyle w:val="Compact"/>
      </w:pPr>
      <w:r>
        <w:t xml:space="preserve">To ensure compliance with regulatory requirements in Israel Jerusalem and international standards.</w:t>
      </w:r>
    </w:p>
    <w:p>
      <w:pPr>
        <w:pStyle w:val="FirstParagraph"/>
      </w:pPr>
      <w:r>
        <w:t xml:space="preserve">3. Methodology</w:t>
      </w:r>
    </w:p>
    <w:p>
      <w:pPr>
        <w:pStyle w:val="BodyText"/>
      </w:pPr>
      <w:r>
        <w:t xml:space="preserve">The study will be conducted in multiple phases, each designed to systematically evaluate different aspects of the biomedical devices.</w:t>
      </w:r>
    </w:p>
    <w:bookmarkStart w:id="21" w:name="phase-1-pre-clinical-testing"/>
    <w:p>
      <w:pPr>
        <w:pStyle w:val="Heading3"/>
      </w:pPr>
      <w:r>
        <w:t xml:space="preserve">3.1 Phase 1: Pre-Clinical Testing</w:t>
      </w:r>
    </w:p>
    <w:p>
      <w:pPr>
        <w:pStyle w:val="FirstParagraph"/>
      </w:pPr>
      <w:r>
        <w:t xml:space="preserve">In this phase, the devices will undergo rigorous testing in a laboratory setting to assess their technical performance. This includes:</w:t>
      </w:r>
    </w:p>
    <w:p>
      <w:pPr>
        <w:numPr>
          <w:ilvl w:val="0"/>
          <w:numId w:val="1002"/>
        </w:numPr>
        <w:pStyle w:val="Compact"/>
      </w:pPr>
      <w:r>
        <w:t xml:space="preserve">Functional testing to ensure the devices operate as intended.</w:t>
      </w:r>
    </w:p>
    <w:p>
      <w:pPr>
        <w:numPr>
          <w:ilvl w:val="0"/>
          <w:numId w:val="1002"/>
        </w:numPr>
        <w:pStyle w:val="Compact"/>
      </w:pPr>
      <w:r>
        <w:t xml:space="preserve">Durability testing to evaluate the devices' ability to withstand repeated use.</w:t>
      </w:r>
    </w:p>
    <w:p>
      <w:pPr>
        <w:numPr>
          <w:ilvl w:val="0"/>
          <w:numId w:val="1002"/>
        </w:numPr>
        <w:pStyle w:val="Compact"/>
      </w:pPr>
      <w:r>
        <w:t xml:space="preserve">Safety testing to identify any potential risks associated with the devices.</w:t>
      </w:r>
    </w:p>
    <w:bookmarkEnd w:id="21"/>
    <w:bookmarkStart w:id="22" w:name="phase-2-clinical-trials"/>
    <w:p>
      <w:pPr>
        <w:pStyle w:val="Heading3"/>
      </w:pPr>
      <w:r>
        <w:t xml:space="preserve">3.2 Phase 2: Clinical Trials</w:t>
      </w:r>
    </w:p>
    <w:p>
      <w:pPr>
        <w:pStyle w:val="FirstParagraph"/>
      </w:pPr>
      <w:r>
        <w:t xml:space="preserve">Following successful pre-clinical testing, the devices will be introduced into a clinical setting in Israel Jerusalem. This phase will involve:</w:t>
      </w:r>
    </w:p>
    <w:p>
      <w:pPr>
        <w:numPr>
          <w:ilvl w:val="0"/>
          <w:numId w:val="1003"/>
        </w:numPr>
        <w:pStyle w:val="Compact"/>
      </w:pPr>
      <w:r>
        <w:t xml:space="preserve">Recruitment of participants from local healthcare facilities.</w:t>
      </w:r>
    </w:p>
    <w:p>
      <w:pPr>
        <w:numPr>
          <w:ilvl w:val="0"/>
          <w:numId w:val="1003"/>
        </w:numPr>
        <w:pStyle w:val="Compact"/>
      </w:pPr>
      <w:r>
        <w:t xml:space="preserve">Implementation of the devices in real-world clinical scenarios.</w:t>
      </w:r>
    </w:p>
    <w:p>
      <w:pPr>
        <w:numPr>
          <w:ilvl w:val="0"/>
          <w:numId w:val="1003"/>
        </w:numPr>
        <w:pStyle w:val="Compact"/>
      </w:pPr>
      <w:r>
        <w:t xml:space="preserve">Collection of data on device performance, patient outcomes, and user feedback.</w:t>
      </w:r>
    </w:p>
    <w:bookmarkEnd w:id="22"/>
    <w:bookmarkStart w:id="23" w:name="phase-3-data-analysis-and-reporting"/>
    <w:p>
      <w:pPr>
        <w:pStyle w:val="Heading3"/>
      </w:pPr>
      <w:r>
        <w:t xml:space="preserve">3.3 Phase 3: Data Analysis and Reporting</w:t>
      </w:r>
    </w:p>
    <w:p>
      <w:pPr>
        <w:pStyle w:val="FirstParagraph"/>
      </w:pPr>
      <w:r>
        <w:t xml:space="preserve">Data collected during the clinical trials will be analyzed to determine the overall effectiveness of the devices. This phase will also involve:</w:t>
      </w:r>
    </w:p>
    <w:p>
      <w:pPr>
        <w:numPr>
          <w:ilvl w:val="0"/>
          <w:numId w:val="1004"/>
        </w:numPr>
        <w:pStyle w:val="Compact"/>
      </w:pPr>
      <w:r>
        <w:t xml:space="preserve">Statistical analysis to identify trends and patterns in the data.</w:t>
      </w:r>
    </w:p>
    <w:p>
      <w:pPr>
        <w:numPr>
          <w:ilvl w:val="0"/>
          <w:numId w:val="1004"/>
        </w:numPr>
        <w:pStyle w:val="Compact"/>
      </w:pPr>
      <w:r>
        <w:t xml:space="preserve">Preparation of a comprehensive report detailing the findings of the study.</w:t>
      </w:r>
    </w:p>
    <w:p>
      <w:pPr>
        <w:numPr>
          <w:ilvl w:val="0"/>
          <w:numId w:val="1004"/>
        </w:numPr>
        <w:pStyle w:val="Compact"/>
      </w:pPr>
      <w:r>
        <w:t xml:space="preserve">Submission of the report to relevant regulatory bodies in Israel Jerusalem.</w:t>
      </w:r>
    </w:p>
    <w:bookmarkEnd w:id="23"/>
    <w:p>
      <w:pPr>
        <w:pStyle w:val="FirstParagraph"/>
      </w:pPr>
      <w:r>
        <w:t xml:space="preserve">4. Ethical Considerations</w:t>
      </w:r>
    </w:p>
    <w:p>
      <w:pPr>
        <w:pStyle w:val="BodyText"/>
      </w:pPr>
      <w:r>
        <w:t xml:space="preserve">This study will adhere to the highest ethical standards, ensuring the protection of participants' rights and well-being. Key ethical considerations include:</w:t>
      </w:r>
    </w:p>
    <w:p>
      <w:pPr>
        <w:numPr>
          <w:ilvl w:val="0"/>
          <w:numId w:val="1005"/>
        </w:numPr>
        <w:pStyle w:val="Compact"/>
      </w:pPr>
      <w:r>
        <w:t xml:space="preserve">Obtaining informed consent from all participants prior to their involvement in the study.</w:t>
      </w:r>
    </w:p>
    <w:p>
      <w:pPr>
        <w:numPr>
          <w:ilvl w:val="0"/>
          <w:numId w:val="1005"/>
        </w:numPr>
        <w:pStyle w:val="Compact"/>
      </w:pPr>
      <w:r>
        <w:t xml:space="preserve">Ensuring confidentiality and anonymity of participant data.</w:t>
      </w:r>
    </w:p>
    <w:p>
      <w:pPr>
        <w:numPr>
          <w:ilvl w:val="0"/>
          <w:numId w:val="1005"/>
        </w:numPr>
        <w:pStyle w:val="Compact"/>
      </w:pPr>
      <w:r>
        <w:t xml:space="preserve">Minimizing risks to participants through careful monitoring and intervention.</w:t>
      </w:r>
    </w:p>
    <w:p>
      <w:pPr>
        <w:numPr>
          <w:ilvl w:val="0"/>
          <w:numId w:val="1005"/>
        </w:numPr>
        <w:pStyle w:val="Compact"/>
      </w:pPr>
      <w:r>
        <w:t xml:space="preserve">Compliance with ethical guidelines established by local and international regulatory bodies.</w:t>
      </w:r>
    </w:p>
    <w:p>
      <w:pPr>
        <w:pStyle w:val="FirstParagraph"/>
      </w:pPr>
      <w:r>
        <w:t xml:space="preserve">5. Regulatory Compliance</w:t>
      </w:r>
    </w:p>
    <w:p>
      <w:pPr>
        <w:pStyle w:val="BodyText"/>
      </w:pPr>
      <w:r>
        <w:t xml:space="preserve">The study will comply with all relevant regulations in Israel Jerusalem, including those set by the Ministry of Health and other governing bodies. This includes:</w:t>
      </w:r>
    </w:p>
    <w:p>
      <w:pPr>
        <w:numPr>
          <w:ilvl w:val="0"/>
          <w:numId w:val="1006"/>
        </w:numPr>
        <w:pStyle w:val="Compact"/>
      </w:pPr>
      <w:r>
        <w:t xml:space="preserve">Adherence to Good Clinical Practice (GCP) guidelines.</w:t>
      </w:r>
    </w:p>
    <w:p>
      <w:pPr>
        <w:numPr>
          <w:ilvl w:val="0"/>
          <w:numId w:val="1006"/>
        </w:numPr>
        <w:pStyle w:val="Compact"/>
      </w:pPr>
      <w:r>
        <w:t xml:space="preserve">Compliance with medical device regulations and standards.</w:t>
      </w:r>
    </w:p>
    <w:p>
      <w:pPr>
        <w:numPr>
          <w:ilvl w:val="0"/>
          <w:numId w:val="1006"/>
        </w:numPr>
        <w:pStyle w:val="Compact"/>
      </w:pPr>
      <w:r>
        <w:t xml:space="preserve">Regular reporting to regulatory authorities as required.</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Overall supervision of the study, ensuring compliance with protocol and regulations.</w:t>
            </w:r>
          </w:p>
        </w:tc>
      </w:tr>
      <w:tr>
        <w:tc>
          <w:tcPr/>
          <w:p>
            <w:pPr>
              <w:pStyle w:val="Compact"/>
              <w:jc w:val="left"/>
            </w:pPr>
            <w:r>
              <w:t xml:space="preserve">Biomedical Engineer</w:t>
            </w:r>
          </w:p>
        </w:tc>
        <w:tc>
          <w:tcPr/>
          <w:p>
            <w:pPr>
              <w:pStyle w:val="Compact"/>
              <w:jc w:val="left"/>
            </w:pPr>
            <w:r>
              <w:t xml:space="preserve">Design, testing, and evaluation of the biomedical devices.</w:t>
            </w:r>
          </w:p>
        </w:tc>
      </w:tr>
      <w:tr>
        <w:tc>
          <w:tcPr/>
          <w:p>
            <w:pPr>
              <w:pStyle w:val="Compact"/>
              <w:jc w:val="left"/>
            </w:pPr>
            <w:r>
              <w:t xml:space="preserve">Clinical Staff</w:t>
            </w:r>
          </w:p>
        </w:tc>
        <w:tc>
          <w:tcPr/>
          <w:p>
            <w:pPr>
              <w:pStyle w:val="Compact"/>
              <w:jc w:val="left"/>
            </w:pPr>
            <w:r>
              <w:t xml:space="preserve">Implementation of the devices in clinical settings, data collection, and patient care.</w:t>
            </w:r>
          </w:p>
        </w:tc>
      </w:tr>
      <w:tr>
        <w:tc>
          <w:tcPr/>
          <w:p>
            <w:pPr>
              <w:pStyle w:val="Compact"/>
              <w:jc w:val="left"/>
            </w:pPr>
            <w:r>
              <w:t xml:space="preserve">Data Analyst</w:t>
            </w:r>
          </w:p>
        </w:tc>
        <w:tc>
          <w:tcPr/>
          <w:p>
            <w:pPr>
              <w:pStyle w:val="Compact"/>
              <w:jc w:val="left"/>
            </w:pPr>
            <w:r>
              <w:t xml:space="preserve">Analysis of data collected during the study, preparation of reports.</w:t>
            </w:r>
          </w:p>
        </w:tc>
      </w:tr>
    </w:tbl>
    <w:p>
      <w:pPr>
        <w:pStyle w:val="BodyText"/>
      </w:pPr>
      <w:r>
        <w:t xml:space="preserve">7. Timeline</w:t>
      </w:r>
    </w:p>
    <w:p>
      <w:pPr>
        <w:pStyle w:val="BodyText"/>
      </w:pPr>
      <w:r>
        <w:t xml:space="preserve">The study is expected to be completed within [Timeframe], with key milestones including:</w:t>
      </w:r>
    </w:p>
    <w:p>
      <w:pPr>
        <w:numPr>
          <w:ilvl w:val="0"/>
          <w:numId w:val="1007"/>
        </w:numPr>
        <w:pStyle w:val="Compact"/>
      </w:pPr>
      <w:r>
        <w:t xml:space="preserve">Completion of pre-clinical testing by [Date].</w:t>
      </w:r>
    </w:p>
    <w:p>
      <w:pPr>
        <w:numPr>
          <w:ilvl w:val="0"/>
          <w:numId w:val="1007"/>
        </w:numPr>
        <w:pStyle w:val="Compact"/>
      </w:pPr>
      <w:r>
        <w:t xml:space="preserve">Initiation of clinical trials by [Date].</w:t>
      </w:r>
    </w:p>
    <w:p>
      <w:pPr>
        <w:numPr>
          <w:ilvl w:val="0"/>
          <w:numId w:val="1007"/>
        </w:numPr>
        <w:pStyle w:val="Compact"/>
      </w:pPr>
      <w:r>
        <w:t xml:space="preserve">Completion of data collection by [Date].</w:t>
      </w:r>
    </w:p>
    <w:p>
      <w:pPr>
        <w:numPr>
          <w:ilvl w:val="0"/>
          <w:numId w:val="1007"/>
        </w:numPr>
        <w:pStyle w:val="Compact"/>
      </w:pPr>
      <w:r>
        <w:t xml:space="preserve">Submission of final report by [Date].</w:t>
      </w:r>
    </w:p>
    <w:p>
      <w:pPr>
        <w:pStyle w:val="FirstParagraph"/>
      </w:pPr>
      <w:r>
        <w:t xml:space="preserve">8. Conclusion</w:t>
      </w:r>
    </w:p>
    <w:p>
      <w:pPr>
        <w:pStyle w:val="BodyText"/>
      </w:pPr>
      <w:r>
        <w:t xml:space="preserve">This Experiment Protocol provides a comprehensive framework for the development and evaluation of biomedical devices in Israel Jerusalem. By following this protocol, the study aims to contribute to the advancement of biomedical engineering and improve healthcare outcomes for the local population. The collaboration between researchers, healthcare professionals, and regulatory bodies will ensure that the study is conducted with the highest standards of integrity and excellence.</w:t>
      </w:r>
    </w:p>
    <w:p>
      <w:pPr>
        <w:pStyle w:val="BodyText"/>
      </w:pPr>
      <w:r>
        <w:t xml:space="preserve">For further information, please contact the Principal Investigator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Israel Jerusalem</dc:title>
  <dc:creator/>
  <dc:language>en</dc:language>
  <cp:keywords/>
  <dcterms:created xsi:type="dcterms:W3CDTF">2026-10-10T03:33:55Z</dcterms:created>
  <dcterms:modified xsi:type="dcterms:W3CDTF">2026-10-10T03:33:55Z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