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Rome,</w:t>
      </w:r>
      <w:r>
        <w:t xml:space="preserve"> </w:t>
      </w:r>
      <w:r>
        <w:t xml:space="preserve">Italy</w:t>
      </w:r>
    </w:p>
    <w:bookmarkStart w:id="20" w:name="experiment-protocol"/>
    <w:p>
      <w:pPr>
        <w:pStyle w:val="Heading1"/>
      </w:pPr>
      <w:r>
        <w:t xml:space="preserve">Experiment Protocol</w:t>
      </w:r>
    </w:p>
    <w:p>
      <w:pPr>
        <w:pStyle w:val="FirstParagraph"/>
      </w:pPr>
      <w:r>
        <w:t xml:space="preserve">Biomedical Engineering Research Initiative</w:t>
      </w:r>
    </w:p>
    <w:p>
      <w:pPr>
        <w:pStyle w:val="BodyText"/>
      </w:pPr>
      <w:r>
        <w:t xml:space="preserve">Location: Rome, Italy</w:t>
      </w:r>
    </w:p>
    <w:bookmarkEnd w:id="20"/>
    <w:p>
      <w:pPr>
        <w:pStyle w:val="BodyText"/>
      </w:pPr>
      <w:r>
        <w:rPr>
          <w:bCs/>
          <w:b/>
        </w:rPr>
        <w:t xml:space="preserve">Protocol ID:</w:t>
      </w:r>
      <w:r>
        <w:t xml:space="preserve"> </w:t>
      </w:r>
      <w:r>
        <w:t xml:space="preserve">IT-RM-BME-2024-001</w:t>
      </w:r>
    </w:p>
    <w:p>
      <w:pPr>
        <w:pStyle w:val="BodyText"/>
      </w:pPr>
      <w:r>
        <w:rPr>
          <w:bCs/>
          <w:b/>
        </w:rPr>
        <w:t xml:space="preserve">Principal Investigator:</w:t>
      </w:r>
      <w:r>
        <w:t xml:space="preserve"> </w:t>
      </w:r>
      <w:r>
        <w:t xml:space="preserve">Dr. [Name], Biomedical Engineer</w:t>
      </w:r>
    </w:p>
    <w:p>
      <w:pPr>
        <w:pStyle w:val="BodyText"/>
      </w:pPr>
      <w:r>
        <w:rPr>
          <w:bCs/>
          <w:b/>
        </w:rPr>
        <w:t xml:space="preserve">Institution:</w:t>
      </w:r>
      <w:r>
        <w:t xml:space="preserve"> </w:t>
      </w:r>
      <w:r>
        <w:t xml:space="preserve">[Name of University/Hospital], Rome, Italy</w:t>
      </w:r>
    </w:p>
    <w:p>
      <w:pPr>
        <w:pStyle w:val="BodyText"/>
      </w:pPr>
      <w:r>
        <w:rPr>
          <w:bCs/>
          <w:b/>
        </w:rPr>
        <w:t xml:space="preserve">Date of Issue:</w:t>
      </w:r>
      <w:r>
        <w:t xml:space="preserve"> </w:t>
      </w:r>
      <w:r>
        <w:t xml:space="preserve">October 24, 2023</w:t>
      </w:r>
    </w:p>
    <w:p>
      <w:pPr>
        <w:pStyle w:val="BodyText"/>
      </w:pPr>
      <w:r>
        <w:rPr>
          <w:bCs/>
          <w:b/>
        </w:rPr>
        <w:t xml:space="preserve">Version:</w:t>
      </w:r>
      <w:r>
        <w:t xml:space="preserve"> </w:t>
      </w:r>
      <w:r>
        <w:t xml:space="preserve">1.0</w:t>
      </w:r>
    </w:p>
    <w:bookmarkStart w:id="21" w:name="introduction-and-objective"/>
    <w:p>
      <w:pPr>
        <w:pStyle w:val="Heading2"/>
      </w:pPr>
      <w:r>
        <w:t xml:space="preserve">1. Introduction and Objective</w:t>
      </w:r>
    </w:p>
    <w:p>
      <w:pPr>
        <w:pStyle w:val="FirstParagraph"/>
      </w:pPr>
      <w:r>
        <w:t xml:space="preserve">This document serves as the formal Experiment Protocol for a research study conducted by a team of Biomedical Engineers based in Rome, Italy. The primary objective of this experiment is to evaluate the efficacy and safety of a novel bio-sensor interface designed for continuous glucose monitoring in diabetic patients. This research aligns with the high standards of medical innovation prevalent in the Italian healthcare sector and adheres to the specific regulatory frameworks governing biomedical research in Italy.</w:t>
      </w:r>
    </w:p>
    <w:p>
      <w:pPr>
        <w:pStyle w:val="BodyText"/>
      </w:pPr>
      <w:r>
        <w:t xml:space="preserve">As a Biomedical Engineer, the lead researcher is responsible for ensuring that the technical specifications of the device meet the rigorous demands of clinical application. The study aims to bridge the gap between theoretical engineering models and practical clinical utility within the diverse demographic of Rome.</w:t>
      </w:r>
    </w:p>
    <w:bookmarkEnd w:id="21"/>
    <w:bookmarkStart w:id="22" w:name="regulatory-compliance-and-ethics"/>
    <w:p>
      <w:pPr>
        <w:pStyle w:val="Heading2"/>
      </w:pPr>
      <w:r>
        <w:t xml:space="preserve">2. Regulatory Compliance and Ethics</w:t>
      </w:r>
    </w:p>
    <w:p>
      <w:pPr>
        <w:pStyle w:val="FirstParagraph"/>
      </w:pPr>
      <w:r>
        <w:t xml:space="preserve">Given that this experiment is taking place in Italy Rome, strict adherence to local and European Union regulations is mandatory. The protocol complies with:</w:t>
      </w:r>
    </w:p>
    <w:p>
      <w:pPr>
        <w:numPr>
          <w:ilvl w:val="0"/>
          <w:numId w:val="1001"/>
        </w:numPr>
        <w:pStyle w:val="Compact"/>
      </w:pPr>
      <w:r>
        <w:rPr>
          <w:bCs/>
          <w:b/>
        </w:rPr>
        <w:t xml:space="preserve">GDPR (General Data Protection Regulation):</w:t>
      </w:r>
      <w:r>
        <w:t xml:space="preserve"> </w:t>
      </w:r>
      <w:r>
        <w:t xml:space="preserve">Ensuring the privacy and security of all patient data collected during the experiment.</w:t>
      </w:r>
    </w:p>
    <w:p>
      <w:pPr>
        <w:numPr>
          <w:ilvl w:val="0"/>
          <w:numId w:val="1001"/>
        </w:numPr>
        <w:pStyle w:val="Compact"/>
      </w:pPr>
      <w:r>
        <w:rPr>
          <w:bCs/>
          <w:b/>
        </w:rPr>
        <w:t xml:space="preserve">Italian Legislative Decree 211/2003:</w:t>
      </w:r>
      <w:r>
        <w:t xml:space="preserve"> </w:t>
      </w:r>
      <w:r>
        <w:t xml:space="preserve">Implementing the EU Clinical Trials Directive.</w:t>
      </w:r>
    </w:p>
    <w:p>
      <w:pPr>
        <w:numPr>
          <w:ilvl w:val="0"/>
          <w:numId w:val="1001"/>
        </w:numPr>
        <w:pStyle w:val="Compact"/>
      </w:pPr>
      <w:r>
        <w:rPr>
          <w:bCs/>
          <w:b/>
        </w:rPr>
        <w:t xml:space="preserve">ISO 13485:</w:t>
      </w:r>
      <w:r>
        <w:t xml:space="preserve"> </w:t>
      </w:r>
      <w:r>
        <w:t xml:space="preserve">Quality management systems for medical devices.</w:t>
      </w:r>
    </w:p>
    <w:p>
      <w:pPr>
        <w:numPr>
          <w:ilvl w:val="0"/>
          <w:numId w:val="1001"/>
        </w:numPr>
        <w:pStyle w:val="Compact"/>
      </w:pPr>
      <w:r>
        <w:rPr>
          <w:bCs/>
          <w:b/>
        </w:rPr>
        <w:t xml:space="preserve">Local Ethics Committee:</w:t>
      </w:r>
      <w:r>
        <w:t xml:space="preserve"> </w:t>
      </w:r>
      <w:r>
        <w:t xml:space="preserve">Approval has been obtained from the Ethics Committee of the [Specific Hospital/University] in Rome.</w:t>
      </w:r>
    </w:p>
    <w:p>
      <w:pPr>
        <w:pStyle w:val="FirstParagraph"/>
      </w:pPr>
      <w:r>
        <w:t xml:space="preserve">The Biomedical Engineer must ensure that all informed consent forms are provided in Italian, the native language of the participants, to guarantee full comprehension of the risks and benefits involved.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is a randomized, controlled, single-blind study. The experiment will be conducted over a period of six months. The study population will consist of 50 adult patients diagnosed with Type 2 Diabetes, recruited from outpatient clinics in the Rome metropolitan area.</w:t>
      </w:r>
    </w:p>
    <w:bookmarkEnd w:id="23"/>
    <w:bookmarkStart w:id="24" w:name="device-description"/>
    <w:p>
      <w:pPr>
        <w:pStyle w:val="Heading3"/>
      </w:pPr>
      <w:r>
        <w:t xml:space="preserve">3.2 Device Description</w:t>
      </w:r>
    </w:p>
    <w:p>
      <w:pPr>
        <w:pStyle w:val="FirstParagraph"/>
      </w:pPr>
      <w:r>
        <w:t xml:space="preserve">The device under investigation is a subcutaneous electrochemical sensor developed by the Biomedical Engineering department. It utilizes a novel enzyme-coated electrode to detect glucose levels in interstitial fluid. The sensor transmits data wirelessly via Bluetooth Low Energy (BLE) to a dedicated mobile application.</w:t>
      </w:r>
    </w:p>
    <w:bookmarkEnd w:id="24"/>
    <w:bookmarkStart w:id="25" w:name="procedure"/>
    <w:p>
      <w:pPr>
        <w:pStyle w:val="Heading3"/>
      </w:pPr>
      <w:r>
        <w:t xml:space="preserve">3.3 Procedure</w:t>
      </w:r>
    </w:p>
    <w:p>
      <w:pPr>
        <w:numPr>
          <w:ilvl w:val="0"/>
          <w:numId w:val="1002"/>
        </w:numPr>
        <w:pStyle w:val="Compact"/>
      </w:pPr>
      <w:r>
        <w:rPr>
          <w:bCs/>
          <w:b/>
        </w:rPr>
        <w:t xml:space="preserve">Screening:</w:t>
      </w:r>
      <w:r>
        <w:t xml:space="preserve"> </w:t>
      </w:r>
      <w:r>
        <w:t xml:space="preserve">Potential participants will undergo a medical evaluation to ensure they meet the inclusion criteria (age 18-65, stable insulin regimen).</w:t>
      </w:r>
    </w:p>
    <w:p>
      <w:pPr>
        <w:numPr>
          <w:ilvl w:val="0"/>
          <w:numId w:val="1002"/>
        </w:numPr>
        <w:pStyle w:val="Compact"/>
      </w:pPr>
      <w:r>
        <w:rPr>
          <w:bCs/>
          <w:b/>
        </w:rPr>
        <w:t xml:space="preserve">Calibration:</w:t>
      </w:r>
      <w:r>
        <w:t xml:space="preserve"> </w:t>
      </w:r>
      <w:r>
        <w:t xml:space="preserve">Upon enrollment, the Biomedical Engineer will calibrate the sensor against a standard blood glucose meter.</w:t>
      </w:r>
    </w:p>
    <w:p>
      <w:pPr>
        <w:numPr>
          <w:ilvl w:val="0"/>
          <w:numId w:val="1002"/>
        </w:numPr>
        <w:pStyle w:val="Compact"/>
      </w:pPr>
      <w:r>
        <w:rPr>
          <w:bCs/>
          <w:b/>
        </w:rPr>
        <w:t xml:space="preserve">Implantation:</w:t>
      </w:r>
      <w:r>
        <w:t xml:space="preserve"> </w:t>
      </w:r>
      <w:r>
        <w:t xml:space="preserve">The sensor will be inserted into the abdominal subcutaneous tissue by a trained nurse under sterile conditions.</w:t>
      </w:r>
    </w:p>
    <w:p>
      <w:pPr>
        <w:numPr>
          <w:ilvl w:val="0"/>
          <w:numId w:val="1002"/>
        </w:numPr>
        <w:pStyle w:val="Compact"/>
      </w:pPr>
      <w:r>
        <w:rPr>
          <w:bCs/>
          <w:b/>
        </w:rPr>
        <w:t xml:space="preserve">Data Collection:</w:t>
      </w:r>
      <w:r>
        <w:t xml:space="preserve"> </w:t>
      </w:r>
      <w:r>
        <w:t xml:space="preserve">Participants will wear the device for 14 days. Data will be recorded every 5 minutes.</w:t>
      </w:r>
    </w:p>
    <w:p>
      <w:pPr>
        <w:numPr>
          <w:ilvl w:val="0"/>
          <w:numId w:val="1002"/>
        </w:numPr>
        <w:pStyle w:val="Compact"/>
      </w:pPr>
      <w:r>
        <w:rPr>
          <w:bCs/>
          <w:b/>
        </w:rPr>
        <w:t xml:space="preserve">Follow-up:</w:t>
      </w:r>
      <w:r>
        <w:t xml:space="preserve"> </w:t>
      </w:r>
      <w:r>
        <w:t xml:space="preserve">Participants will return to the clinic in Rome for device removal and a final health assessment.</w:t>
      </w:r>
    </w:p>
    <w:bookmarkEnd w:id="25"/>
    <w:bookmarkEnd w:id="26"/>
    <w:bookmarkStart w:id="27" w:name="roles-and-responsibilities"/>
    <w:p>
      <w:pPr>
        <w:pStyle w:val="Heading2"/>
      </w:pPr>
      <w:r>
        <w:t xml:space="preserve">4. Roles and Responsibilities</w:t>
      </w:r>
    </w:p>
    <w:p>
      <w:pPr>
        <w:pStyle w:val="FirstParagraph"/>
      </w:pPr>
      <w:r>
        <w:t xml:space="preserve">The Biomedical Engineer plays a central role in this protocol. Their responsibilities include:</w:t>
      </w:r>
    </w:p>
    <w:p>
      <w:pPr>
        <w:numPr>
          <w:ilvl w:val="0"/>
          <w:numId w:val="1003"/>
        </w:numPr>
        <w:pStyle w:val="Compact"/>
      </w:pPr>
      <w:r>
        <w:t xml:space="preserve">Designing and validating the sensor hardware and software.</w:t>
      </w:r>
    </w:p>
    <w:p>
      <w:pPr>
        <w:numPr>
          <w:ilvl w:val="0"/>
          <w:numId w:val="1003"/>
        </w:numPr>
        <w:pStyle w:val="Compact"/>
      </w:pPr>
      <w:r>
        <w:t xml:space="preserve">Training medical staff on the proper handling and insertion of the device.</w:t>
      </w:r>
    </w:p>
    <w:p>
      <w:pPr>
        <w:numPr>
          <w:ilvl w:val="0"/>
          <w:numId w:val="1003"/>
        </w:numPr>
        <w:pStyle w:val="Compact"/>
      </w:pPr>
      <w:r>
        <w:t xml:space="preserve">Monitoring the technical performance of the sensors throughout the trial.</w:t>
      </w:r>
    </w:p>
    <w:p>
      <w:pPr>
        <w:numPr>
          <w:ilvl w:val="0"/>
          <w:numId w:val="1003"/>
        </w:numPr>
        <w:pStyle w:val="Compact"/>
      </w:pPr>
      <w:r>
        <w:t xml:space="preserve">Analyzing the raw data to assess accuracy, precision, and reliability.</w:t>
      </w:r>
    </w:p>
    <w:p>
      <w:pPr>
        <w:numPr>
          <w:ilvl w:val="0"/>
          <w:numId w:val="1003"/>
        </w:numPr>
        <w:pStyle w:val="Compact"/>
      </w:pPr>
      <w:r>
        <w:t xml:space="preserve">Reporting any technical malfunctions or adverse events related to the device to the Ethics Committee.</w:t>
      </w:r>
    </w:p>
    <w:p>
      <w:pPr>
        <w:pStyle w:val="FirstParagraph"/>
      </w:pPr>
      <w:r>
        <w:t xml:space="preserve">Collaboration with local clinicians in Rome is essential to ensure that the engineering solutions are practical and beneficial for patient care.</w:t>
      </w:r>
    </w:p>
    <w:bookmarkEnd w:id="27"/>
    <w:bookmarkStart w:id="28" w:name="data-management-and-analysis"/>
    <w:p>
      <w:pPr>
        <w:pStyle w:val="Heading2"/>
      </w:pPr>
      <w:r>
        <w:t xml:space="preserve">5. Data Management and Analysis</w:t>
      </w:r>
    </w:p>
    <w:p>
      <w:pPr>
        <w:pStyle w:val="FirstParagraph"/>
      </w:pPr>
      <w:r>
        <w:t xml:space="preserve">All data collected during the experiment will be stored on secure servers located within Italy to comply with data sovereignty laws. The Biomedical Engineer will use statistical software (e.g., R or Python) to analyze the correlation between the sensor readings and the reference blood glucose values. Key performance indicators include Mean Absolute Relative Difference (MARD) and Clarke Error Grid analysis.</w:t>
      </w:r>
    </w:p>
    <w:bookmarkEnd w:id="28"/>
    <w:bookmarkStart w:id="29" w:name="risk-management"/>
    <w:p>
      <w:pPr>
        <w:pStyle w:val="Heading2"/>
      </w:pPr>
      <w:r>
        <w:t xml:space="preserve">6. Risk Management</w:t>
      </w:r>
    </w:p>
    <w:p>
      <w:pPr>
        <w:pStyle w:val="FirstParagraph"/>
      </w:pPr>
      <w:r>
        <w:t xml:space="preserve">Potential risks include skin irritation at the insertion site, infection, and inaccurate readings. The protocol includes a detailed risk mitigation plan:</w:t>
      </w:r>
    </w:p>
    <w:p>
      <w:pPr>
        <w:numPr>
          <w:ilvl w:val="0"/>
          <w:numId w:val="1004"/>
        </w:numPr>
        <w:pStyle w:val="Compact"/>
      </w:pPr>
      <w:r>
        <w:t xml:space="preserve">Use of sterile, single-use insertion kits.</w:t>
      </w:r>
    </w:p>
    <w:p>
      <w:pPr>
        <w:numPr>
          <w:ilvl w:val="0"/>
          <w:numId w:val="1004"/>
        </w:numPr>
        <w:pStyle w:val="Compact"/>
      </w:pPr>
      <w:r>
        <w:t xml:space="preserve">Regular monitoring of the insertion site by participants and clinicians.</w:t>
      </w:r>
    </w:p>
    <w:p>
      <w:pPr>
        <w:numPr>
          <w:ilvl w:val="0"/>
          <w:numId w:val="1004"/>
        </w:numPr>
        <w:pStyle w:val="Compact"/>
      </w:pPr>
      <w:r>
        <w:t xml:space="preserve">Immediate removal of the device in case of severe adverse reactions.</w:t>
      </w:r>
    </w:p>
    <w:p>
      <w:pPr>
        <w:numPr>
          <w:ilvl w:val="0"/>
          <w:numId w:val="1004"/>
        </w:numPr>
        <w:pStyle w:val="Compact"/>
      </w:pPr>
      <w:r>
        <w:t xml:space="preserve">Provision of emergency contact information for the Biomedical Engineering team.</w:t>
      </w:r>
    </w:p>
    <w:bookmarkEnd w:id="29"/>
    <w:bookmarkStart w:id="30" w:name="conclusion"/>
    <w:p>
      <w:pPr>
        <w:pStyle w:val="Heading2"/>
      </w:pPr>
      <w:r>
        <w:t xml:space="preserve">7. Conclusion</w:t>
      </w:r>
    </w:p>
    <w:p>
      <w:pPr>
        <w:pStyle w:val="FirstParagraph"/>
      </w:pPr>
      <w:r>
        <w:t xml:space="preserve">This Experiment Protocol outlines a comprehensive approach to testing a new biomedical device in a real-world clinical setting in Rome, Italy. By adhering to these guidelines, the Biomedical Engineer ensures that the research is conducted ethically, safely, and scientifically rigorously. The successful completion of this study will contribute valuable data to the field of biomedical engineering and potentially improve the quality of life for diabetic patients in Italy and beyond.</w:t>
      </w:r>
    </w:p>
    <w:p>
      <w:pPr>
        <w:pStyle w:val="BodyText"/>
      </w:pPr>
      <w:r>
        <w:rPr>
          <w:bCs/>
          <w:b/>
        </w:rPr>
        <w:t xml:space="preserve">Principal Investigator</w:t>
      </w:r>
    </w:p>
    <w:p>
      <w:pPr>
        <w:pStyle w:val="BodyText"/>
      </w:pPr>
      <w:r>
        <w:t xml:space="preserve">Biomedical Engineer</w:t>
      </w:r>
    </w:p>
    <w:p>
      <w:pPr>
        <w:pStyle w:val="BodyText"/>
      </w:pPr>
      <w:r>
        <w:br/>
      </w:r>
    </w:p>
    <w:p>
      <w:pPr>
        <w:pStyle w:val="BodyText"/>
      </w:pPr>
      <w:r>
        <w:t xml:space="preserve">__________________________</w:t>
      </w:r>
    </w:p>
    <w:p>
      <w:pPr>
        <w:pStyle w:val="BodyText"/>
      </w:pPr>
      <w:r>
        <w:t xml:space="preserve">Signature</w:t>
      </w:r>
    </w:p>
    <w:p>
      <w:pPr>
        <w:pStyle w:val="BodyText"/>
      </w:pPr>
      <w:r>
        <w:rPr>
          <w:bCs/>
          <w:b/>
        </w:rPr>
        <w:t xml:space="preserve">Ethics Committee Representative</w:t>
      </w:r>
    </w:p>
    <w:p>
      <w:pPr>
        <w:pStyle w:val="BodyText"/>
      </w:pPr>
      <w:r>
        <w:t xml:space="preserve">Rome, Italy</w:t>
      </w:r>
    </w:p>
    <w:p>
      <w:pPr>
        <w:pStyle w:val="BodyText"/>
      </w:pPr>
      <w:r>
        <w:br/>
      </w:r>
    </w:p>
    <w:p>
      <w:pPr>
        <w:pStyle w:val="BodyText"/>
      </w:pPr>
      <w:r>
        <w:t xml:space="preserve">__________________________</w:t>
      </w:r>
    </w:p>
    <w:p>
      <w:pPr>
        <w:pStyle w:val="BodyText"/>
      </w:pPr>
      <w:r>
        <w:t xml:space="preserve">Signature</w:t>
      </w:r>
    </w:p>
    <w:p>
      <w:pPr>
        <w:pStyle w:val="BodyText"/>
      </w:pPr>
      <w:r>
        <w:t xml:space="preserve">© 2023 Biomedical Engineering Research Group, Rome, Italy. All rights reserved.</w:t>
      </w:r>
    </w:p>
    <w:p>
      <w:pPr>
        <w:pStyle w:val="BodyText"/>
      </w:pPr>
      <w:r>
        <w:t xml:space="preserve">This document is confidential and intended for authorized personnel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Rome, Italy</dc:title>
  <dc:creator/>
  <dc:language>en</dc:language>
  <cp:keywords/>
  <dcterms:created xsi:type="dcterms:W3CDTF">2026-10-10T00:33:04Z</dcterms:created>
  <dcterms:modified xsi:type="dcterms:W3CDTF">2026-10-10T00:33:04Z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