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Japan</w:t>
      </w:r>
      <w:r>
        <w:t xml:space="preserve"> </w:t>
      </w:r>
      <w:r>
        <w:t xml:space="preserve">Osaka</w:t>
      </w:r>
    </w:p>
    <w:p>
      <w:pPr>
        <w:pStyle w:val="FirstParagraph"/>
      </w:pPr>
      <w:r>
        <w:rPr>
          <w:bCs/>
          <w:b/>
        </w:rPr>
        <w:t xml:space="preserve">Document ID:</w:t>
      </w:r>
      <w:r>
        <w:t xml:space="preserve"> </w:t>
      </w:r>
      <w:r>
        <w:t xml:space="preserve">JPO-BME-2024-001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Japan Osaka</w:t>
      </w:r>
    </w:p>
    <w:bookmarkStart w:id="30" w:name="Xa8b4427780863959f1469a30faabc40cc1449e1"/>
    <w:p>
      <w:pPr>
        <w:pStyle w:val="Heading1"/>
      </w:pPr>
      <w:r>
        <w:t xml:space="preserve">Experiment Protocol: Biomedical Engineer Research Initiative</w:t>
      </w:r>
    </w:p>
    <w:p>
      <w:pPr>
        <w:pStyle w:val="FirstParagraph"/>
      </w:pPr>
      <w:r>
        <w:rPr>
          <w:bCs/>
          <w:b/>
        </w:rPr>
        <w:t xml:space="preserve">Title:</w:t>
      </w:r>
      <w:r>
        <w:t xml:space="preserve"> </w:t>
      </w:r>
      <w:r>
        <w:t xml:space="preserve">Evaluation of Biocompatibility and Signal Integrity in Next-Generation Neural Interfaces</w:t>
      </w:r>
    </w:p>
    <w:p>
      <w:pPr>
        <w:pStyle w:val="BodyText"/>
      </w:pPr>
      <w:r>
        <w:rPr>
          <w:bCs/>
          <w:b/>
        </w:rPr>
        <w:t xml:space="preserve">Principal Investigator:</w:t>
      </w:r>
      <w:r>
        <w:t xml:space="preserve"> </w:t>
      </w:r>
      <w:r>
        <w:t xml:space="preserve">[Name of Biomedical Engineer]</w:t>
      </w:r>
    </w:p>
    <w:p>
      <w:pPr>
        <w:pStyle w:val="BodyText"/>
      </w:pPr>
      <w:r>
        <w:rPr>
          <w:bCs/>
          <w:b/>
        </w:rPr>
        <w:t xml:space="preserve">Institution:</w:t>
      </w:r>
      <w:r>
        <w:t xml:space="preserve"> </w:t>
      </w:r>
      <w:r>
        <w:t xml:space="preserve">[Name of Research Institute in Japan Osaka]</w:t>
      </w:r>
    </w:p>
    <w:bookmarkStart w:id="20" w:name="introduction-and-background"/>
    <w:p>
      <w:pPr>
        <w:pStyle w:val="Heading2"/>
      </w:pPr>
      <w:r>
        <w:t xml:space="preserve">1. Introduction and Background</w:t>
      </w:r>
    </w:p>
    <w:p>
      <w:pPr>
        <w:pStyle w:val="FirstParagraph"/>
      </w:pPr>
      <w:r>
        <w:t xml:space="preserve">This Experiment Protocol outlines the rigorous procedures to be followed by the Biomedical Engineer and the associated research team conducting advanced studies on neural interface technologies. The research is situated within the dynamic scientific ecosystem of Japan Osaka, a region renowned for its convergence of traditional medical expertise and cutting-edge technological innovation. As a Biomedical Engineer operating in this jurisdiction, adherence to both international standards and local regulatory frameworks is paramount.</w:t>
      </w:r>
    </w:p>
    <w:p>
      <w:pPr>
        <w:pStyle w:val="BodyText"/>
      </w:pPr>
      <w:r>
        <w:t xml:space="preserve">The primary objective of this study is to assess the long-term biocompatibility and signal fidelity of a novel flexible electrode array designed for chronic neural recording. Given the high standards of medical device development in Japan, this protocol emphasizes precision, safety, and ethical compliance. The work conducted in Japan Osaka will contribute to the broader understanding of human-machine interfaces, leveraging the region's advanced manufacturing capabilities and clinical resources.</w:t>
      </w:r>
    </w:p>
    <w:bookmarkEnd w:id="20"/>
    <w:bookmarkStart w:id="21" w:name="regulatory-compliance-and-ethics"/>
    <w:p>
      <w:pPr>
        <w:pStyle w:val="Heading2"/>
      </w:pPr>
      <w:r>
        <w:t xml:space="preserve">2. Regulatory Compliance and Ethics</w:t>
      </w:r>
    </w:p>
    <w:p>
      <w:pPr>
        <w:pStyle w:val="FirstParagraph"/>
      </w:pPr>
      <w:r>
        <w:t xml:space="preserve">All activities described in this Experiment Protocol must strictly comply with the regulations set forth by the Pharmaceuticals and Medical Devices Agency (PMDA) of Japan. Furthermore, the research must align with the ethical guidelines established by the Ministry of Health, Labour and Welfare (MHLW). As this study involves potential biological interactions, approval from the Institutional Review Board (IRB) located in Japan Osaka is mandatory prior to the commencement of any experimental procedures.</w:t>
      </w:r>
    </w:p>
    <w:p>
      <w:pPr>
        <w:pStyle w:val="BodyText"/>
      </w:pPr>
      <w:r>
        <w:t xml:space="preserve">The Biomedical Engineer is responsible for ensuring that all data handling practices adhere to the Act on the Protection of Personal Information (APPI). Special attention must be paid to the anonymization of any biological samples or data derived from human subjects. In the context of Japan Osaka, where collaboration between academia and industry is frequent, clear data governance policies must be maintained to protect intellectual property and participant privacy.</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execution of this protocol. All equipment must be calibrated according to ISO standards before use.</w:t>
      </w:r>
    </w:p>
    <w:p>
      <w:pPr>
        <w:numPr>
          <w:ilvl w:val="0"/>
          <w:numId w:val="1001"/>
        </w:numPr>
        <w:pStyle w:val="Compact"/>
      </w:pPr>
      <w:r>
        <w:rPr>
          <w:bCs/>
          <w:b/>
        </w:rPr>
        <w:t xml:space="preserve">Neural Interface Prototypes:</w:t>
      </w:r>
      <w:r>
        <w:t xml:space="preserve"> </w:t>
      </w:r>
      <w:r>
        <w:t xml:space="preserve">Flexible polymer-based electrode arrays manufactured in accordance with Japanese Industrial Standards (JIS).</w:t>
      </w:r>
    </w:p>
    <w:p>
      <w:pPr>
        <w:numPr>
          <w:ilvl w:val="0"/>
          <w:numId w:val="1001"/>
        </w:numPr>
        <w:pStyle w:val="Compact"/>
      </w:pPr>
      <w:r>
        <w:rPr>
          <w:bCs/>
          <w:b/>
        </w:rPr>
        <w:t xml:space="preserve">Biological Models:</w:t>
      </w:r>
      <w:r>
        <w:t xml:space="preserve"> </w:t>
      </w:r>
      <w:r>
        <w:t xml:space="preserve">Cell cultures derived from approved sources, or animal models if approved by the Animal Care and Use Committee in Japan Osaka.</w:t>
      </w:r>
    </w:p>
    <w:p>
      <w:pPr>
        <w:numPr>
          <w:ilvl w:val="0"/>
          <w:numId w:val="1001"/>
        </w:numPr>
        <w:pStyle w:val="Compact"/>
      </w:pPr>
      <w:r>
        <w:rPr>
          <w:bCs/>
          <w:b/>
        </w:rPr>
        <w:t xml:space="preserve">Signal Acquisition System:</w:t>
      </w:r>
      <w:r>
        <w:t xml:space="preserve"> </w:t>
      </w:r>
      <w:r>
        <w:t xml:space="preserve">High-fidelity amplifiers and data acquisition units capable of microvolt-level resolution.</w:t>
      </w:r>
    </w:p>
    <w:p>
      <w:pPr>
        <w:numPr>
          <w:ilvl w:val="0"/>
          <w:numId w:val="1001"/>
        </w:numPr>
        <w:pStyle w:val="Compact"/>
      </w:pPr>
      <w:r>
        <w:rPr>
          <w:bCs/>
          <w:b/>
        </w:rPr>
        <w:t xml:space="preserve">Environmental Controls:</w:t>
      </w:r>
      <w:r>
        <w:t xml:space="preserve"> </w:t>
      </w:r>
      <w:r>
        <w:t xml:space="preserve">Incubators and sterile workstations maintained at 37°C with 5% CO2.</w:t>
      </w:r>
    </w:p>
    <w:p>
      <w:pPr>
        <w:numPr>
          <w:ilvl w:val="0"/>
          <w:numId w:val="1001"/>
        </w:numPr>
        <w:pStyle w:val="Compact"/>
      </w:pPr>
      <w:r>
        <w:rPr>
          <w:bCs/>
          <w:b/>
        </w:rPr>
        <w:t xml:space="preserve">Safety Gear:</w:t>
      </w:r>
      <w:r>
        <w:t xml:space="preserve"> </w:t>
      </w:r>
      <w:r>
        <w:t xml:space="preserve">Personal protective equipment (PPE) including lab coats, nitrile gloves, and safety goggles, compliant with Japanese occupational safety laws.</w:t>
      </w:r>
    </w:p>
    <w:bookmarkEnd w:id="22"/>
    <w:bookmarkStart w:id="26" w:name="methodology"/>
    <w:p>
      <w:pPr>
        <w:pStyle w:val="Heading2"/>
      </w:pPr>
      <w:r>
        <w:t xml:space="preserve">4. Methodology</w:t>
      </w:r>
    </w:p>
    <w:p>
      <w:pPr>
        <w:pStyle w:val="FirstParagraph"/>
      </w:pPr>
      <w:r>
        <w:t xml:space="preserve">The experimental procedure will be conducted in three distinct phases. The Biomedical Engineer must document each step meticulously in the laboratory notebook.</w:t>
      </w:r>
    </w:p>
    <w:bookmarkStart w:id="23" w:name="X44c22769d5e35194a64f83f56fef73241f76d5d"/>
    <w:p>
      <w:pPr>
        <w:pStyle w:val="Heading3"/>
      </w:pPr>
      <w:r>
        <w:t xml:space="preserve">4.1 Phase I: In Vitro Biocompatibility Testing</w:t>
      </w:r>
    </w:p>
    <w:p>
      <w:pPr>
        <w:pStyle w:val="FirstParagraph"/>
      </w:pPr>
      <w:r>
        <w:t xml:space="preserve">In this initial phase, the neural interface prototypes will be exposed to neural cell cultures. The goal is to determine cytotoxicity and cellular adhesion properties. Samples will be incubated for periods of 24, 48, and 72 hours. Cell viability will be assessed using MTT assays. This phase is critical to ensure that the materials used do not induce adverse biological responses before proceeding to more complex models.</w:t>
      </w:r>
    </w:p>
    <w:bookmarkEnd w:id="23"/>
    <w:bookmarkStart w:id="24" w:name="phase-ii-signal-integrity-assessment"/>
    <w:p>
      <w:pPr>
        <w:pStyle w:val="Heading3"/>
      </w:pPr>
      <w:r>
        <w:t xml:space="preserve">4.2 Phase II: Signal Integrity Assessment</w:t>
      </w:r>
    </w:p>
    <w:p>
      <w:pPr>
        <w:pStyle w:val="FirstParagraph"/>
      </w:pPr>
      <w:r>
        <w:t xml:space="preserve">Following successful biocompatibility screening, the electrical performance of the devices will be evaluated. The Biomedical Engineer will record spontaneous neural activity from the cell cultures interfaced with the electrodes. Key metrics include signal-to-noise ratio (SNR), impedance spectroscopy, and stability over time. Data will be analyzed using specialized software to ensure that the devices meet the performance criteria required for clinical translation in Japan.</w:t>
      </w:r>
    </w:p>
    <w:bookmarkEnd w:id="24"/>
    <w:bookmarkStart w:id="25" w:name="phase-iii-chronic-stability-analysis"/>
    <w:p>
      <w:pPr>
        <w:pStyle w:val="Heading3"/>
      </w:pPr>
      <w:r>
        <w:t xml:space="preserve">4.3 Phase III: Chronic Stability Analysis</w:t>
      </w:r>
    </w:p>
    <w:p>
      <w:pPr>
        <w:pStyle w:val="FirstParagraph"/>
      </w:pPr>
      <w:r>
        <w:t xml:space="preserve">If approved, this phase involves long-term monitoring of the devices in a simulated physiological environment. The focus is on assessing material degradation and signal drift over a period of four weeks. This phase is essential for validating the durability of the technology, a key concern for medical devices intended for use in the rigorous healthcare environment of Japan Osaka.</w:t>
      </w:r>
    </w:p>
    <w:bookmarkEnd w:id="25"/>
    <w:bookmarkEnd w:id="26"/>
    <w:bookmarkStart w:id="27" w:name="data-management-and-analysis"/>
    <w:p>
      <w:pPr>
        <w:pStyle w:val="Heading2"/>
      </w:pPr>
      <w:r>
        <w:t xml:space="preserve">5. Data Management and Analysis</w:t>
      </w:r>
    </w:p>
    <w:p>
      <w:pPr>
        <w:pStyle w:val="FirstParagraph"/>
      </w:pPr>
      <w:r>
        <w:t xml:space="preserve">All experimental data must be recorded in a secure, centralized database accessible only to authorized personnel. The Biomedical Engineer is responsible for ensuring data integrity and traceability. Statistical analysis will be performed using standard methods, with a significance level set at p &lt; 0.05. Results will be documented in a final report that adheres to the formatting guidelines required by Japanese academic and regulatory bodies.</w:t>
      </w:r>
    </w:p>
    <w:bookmarkEnd w:id="27"/>
    <w:bookmarkStart w:id="28" w:name="safety-and-risk-management"/>
    <w:p>
      <w:pPr>
        <w:pStyle w:val="Heading2"/>
      </w:pPr>
      <w:r>
        <w:t xml:space="preserve">6. Safety and Risk Management</w:t>
      </w:r>
    </w:p>
    <w:p>
      <w:pPr>
        <w:pStyle w:val="FirstParagraph"/>
      </w:pPr>
      <w:r>
        <w:t xml:space="preserve">Safety is the highest priority in this Experiment Protocol. The Biomedical Engineer must conduct a thorough risk assessment before beginning any work. Potential hazards include electrical risks, biological contamination, and chemical exposure. Emergency procedures, including spill containment and first aid protocols, must be clearly posted in the laboratory. In the event of an incident, the laboratory director and relevant authorities in Japan Osaka must be notified immediately.</w:t>
      </w:r>
    </w:p>
    <w:p>
      <w:pPr>
        <w:pStyle w:val="BodyText"/>
      </w:pPr>
      <w:r>
        <w:rPr>
          <w:bCs/>
          <w:b/>
        </w:rPr>
        <w:t xml:space="preserve">Note:</w:t>
      </w:r>
      <w:r>
        <w:t xml:space="preserve"> </w:t>
      </w:r>
      <w:r>
        <w:t xml:space="preserve">This protocol is subject to review and modification based on preliminary findings or changes in regulatory requirements. Any deviations from this protocol must be documented and justified.</w:t>
      </w:r>
    </w:p>
    <w:bookmarkEnd w:id="28"/>
    <w:bookmarkStart w:id="29" w:name="conclusion"/>
    <w:p>
      <w:pPr>
        <w:pStyle w:val="Heading2"/>
      </w:pPr>
      <w:r>
        <w:t xml:space="preserve">7. Conclusion</w:t>
      </w:r>
    </w:p>
    <w:p>
      <w:pPr>
        <w:pStyle w:val="FirstParagraph"/>
      </w:pPr>
      <w:r>
        <w:t xml:space="preserve">This Experiment Protocol provides a comprehensive framework for the Biomedical Engineer to conduct high-quality research on neural interfaces in Japan Osaka. By adhering to these guidelines, the research team ensures that their work is scientifically rigorous, ethically sound, and compliant with all applicable regulations. The successful execution of this protocol will advance the field of biomedical engineering and contribute to the development of innovative medical technologies.</w:t>
      </w:r>
    </w:p>
    <w:p>
      <w:pPr>
        <w:pStyle w:val="BodyText"/>
      </w:pPr>
      <w:r>
        <w:rPr>
          <w:bCs/>
          <w:b/>
        </w:rPr>
        <w:t xml:space="preserve">Biomedical Engineer Signature</w:t>
      </w:r>
      <w:r>
        <w:br/>
      </w:r>
      <w:r>
        <w:t xml:space="preserve">Date: _______________</w:t>
      </w:r>
    </w:p>
    <w:p>
      <w:pPr>
        <w:pStyle w:val="BodyText"/>
      </w:pPr>
      <w:r>
        <w:rPr>
          <w:bCs/>
          <w:b/>
        </w:rPr>
        <w:t xml:space="preserve">Principal Investigator Signature</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Japan Osaka</dc:title>
  <dc:creator/>
  <dc:language>en</dc:language>
  <cp:keywords/>
  <dcterms:created xsi:type="dcterms:W3CDTF">2026-10-10T00:32:11Z</dcterms:created>
  <dcterms:modified xsi:type="dcterms:W3CDTF">2026-10-10T00:32:11Z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